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4635A">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兰州庄园牧场股份有限公司商品销售</w:t>
      </w:r>
    </w:p>
    <w:p w14:paraId="229C7210">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小程序供应商寻源公告</w:t>
      </w:r>
    </w:p>
    <w:p w14:paraId="365F9DDC">
      <w:pPr>
        <w:keepNext w:val="0"/>
        <w:keepLines w:val="0"/>
        <w:pageBreakBefore w:val="0"/>
        <w:widowControl/>
        <w:kinsoku/>
        <w:wordWrap/>
        <w:overflowPunct/>
        <w:topLinePunct w:val="0"/>
        <w:autoSpaceDE/>
        <w:autoSpaceDN/>
        <w:bidi w:val="0"/>
        <w:adjustRightInd/>
        <w:snapToGrid/>
        <w:spacing w:after="0" w:line="560" w:lineRule="exact"/>
        <w:ind w:firstLine="420"/>
        <w:textAlignment w:val="auto"/>
        <w:rPr>
          <w:rFonts w:hint="eastAsia" w:ascii="仿宋_GB2312" w:hAnsi="仿宋_GB2312" w:eastAsia="仿宋_GB2312" w:cs="仿宋_GB2312"/>
          <w:sz w:val="32"/>
          <w:szCs w:val="32"/>
        </w:rPr>
      </w:pPr>
    </w:p>
    <w:p w14:paraId="60F847E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兰州庄园牧场股份有限公司为积极拓展线上零售业务、丰富线上销售品类、培育新的业务增长点，拟建设商品销售小程序及配套业务管理系统，探索线上线下一体化的商品零售新模式。目前相关业务仍以传统线下交易为主，存在客户触达渠道有限、订单与履约衔接不畅、销售数据采集滞后、用户运营手段单一等问题，已成为制约业务高质量发展的关键瓶颈。</w:t>
      </w:r>
    </w:p>
    <w:p w14:paraId="08E04A7D">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打通线上销售链路、实现业务全流程数字化管控，我司拟研发具有完全自主知识产权的商品销售小程序及配套业务管理系统，覆盖消费者端、商户运营端及供应链端全链路业务场景。现面向社会公开征集具备相关项目经验或成熟软件产品的优质软件供应商，欢迎符合资质条件、技术实力雄厚的供应商踊跃报名参与。现将有关事项公告如下：</w:t>
      </w:r>
    </w:p>
    <w:p w14:paraId="3612892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一、寻源范围</w:t>
      </w:r>
    </w:p>
    <w:p w14:paraId="01EC7A5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寻源范围为商品销售小程序及配套业务管理系统的委托研发与定制实施服务。核心建设内容包括：消费者端微信小程序（用户端）、商户运营管理后台（B端Web管理端）、供应链端轻量应用以及系统集成、实施、培训与运维移交服务。</w:t>
      </w:r>
    </w:p>
    <w:p w14:paraId="33BD42BC">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二、项目背景与建设内容</w:t>
      </w:r>
    </w:p>
    <w:p w14:paraId="5CA3905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（一）现状</w:t>
      </w:r>
    </w:p>
    <w:p w14:paraId="00C2E72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现有相关零售业务以线下销售为主，缺少统一的线上销售入口和数字化运营工具，存在客户触达受限、订单履约衔接不畅、销售数据采集滞后、用户运营手段单一等问题，已成为制约业务规模化、标准化发展的重要瓶颈。</w:t>
      </w:r>
    </w:p>
    <w:p w14:paraId="03898EE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（二）建设目标</w:t>
      </w:r>
    </w:p>
    <w:p w14:paraId="64B8B96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发具有完全自主知识产权的商品销售小程序及配套业务管理系统，构建覆盖消费者端、商户运营端、供应链端的全链路数字化平台。系统须覆盖消费者小程序（首页大厅、商品详情、购物车下单、订单与物流、个人中心等核心功能模块）、商户管理后台（商品管理、订单管理、供应链管理、销售数据统计、用户与营销、系统设置等核心功能模块）及供应链端应用（履约任务接收、履约完成回填、分拣打包、发货揽收、异常上报等核心功能模块），实现订单归集、协同履约、配送等核心业务环节的线上化闭环管理。</w:t>
      </w:r>
    </w:p>
    <w:p w14:paraId="0EE18E2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三、供应商准入条件</w:t>
      </w:r>
    </w:p>
    <w:p w14:paraId="712808C2">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供应商须同时满足以下准入条件：</w:t>
      </w:r>
    </w:p>
    <w:p w14:paraId="7273A49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1.主体资质合法：为依法注册的独立法人企业，持有有效营业执照，经营范围涵盖软件开发或信息技术服务等相关内容。</w:t>
      </w:r>
    </w:p>
    <w:p w14:paraId="3D651DE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2.项目经验要求：须具备电商、社区团购、智慧零售或微信小程序开发等相关领域的项目经验，或拥有成熟的电商类/小程序类软件产品可在现有基础上进行升级改造。须提供近3年内相关项目的合同及验收证明。</w:t>
      </w:r>
    </w:p>
    <w:p w14:paraId="627C1B5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3.技术团队配置：具备微信小程序开发、微服务架构、移动端开发、第三方支付对接、物流对接等核心技术能力，能够组建满足本项目规模要求的专业技术团队。</w:t>
      </w:r>
    </w:p>
    <w:p w14:paraId="5780E2CC">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4.经营状况良好：近3年财务状况正常，无破产、重组或严重亏损情形。</w:t>
      </w:r>
    </w:p>
    <w:p w14:paraId="056B31E3">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5.信誉记录优良：近3年内无重大违法违规记录，未被列入失信被执行人名单，未被列入政府采购严重违法失信行为记录名单。</w:t>
      </w:r>
    </w:p>
    <w:p w14:paraId="6CA5A403">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四、技术要求</w:t>
      </w:r>
    </w:p>
    <w:p w14:paraId="2AFEFC7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（一）系统兼容要求</w:t>
      </w:r>
    </w:p>
    <w:p w14:paraId="59FD59D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1.消费者端须为微信小程序形态，兼容主流iOS/Android手机系统；</w:t>
      </w:r>
    </w:p>
    <w:p w14:paraId="064C648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2.商户管理后台支持主流浏览器访问，兼容Windows及国产化操作系统客户端。</w:t>
      </w:r>
    </w:p>
    <w:p w14:paraId="2904C7F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（二）功能要求</w:t>
      </w:r>
    </w:p>
    <w:p w14:paraId="0033B99D">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须实现包含消费者小程序（首页大厅、商品详情、购物车与下单、订单与物流、个人中心等核心模块）、商户管理后台（商品管理、订单管理、供应链管理、销售数据统计、用户与营销、系统设置等核心模块）、供应链端应用（履约任务接收、履约回填、分拣打包、发货揽收、异常上报等核心模块），具体功能需求以双方确认的需求规格说明书为准。</w:t>
      </w:r>
    </w:p>
    <w:p w14:paraId="62AA1B8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（三）安全合规要求</w:t>
      </w:r>
    </w:p>
    <w:p w14:paraId="51BECFE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1.须通过《信息安全技术 网络安全等级保护基本要求》(GB/T 22239-2019)等保</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级测评；</w:t>
      </w:r>
    </w:p>
    <w:p w14:paraId="2641DA5A">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2.须符合国家及行业关于商品线上销售、消费者权益保护、个人信息保护等相关技术标准要求；</w:t>
      </w:r>
    </w:p>
    <w:p w14:paraId="450FC2C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3.须遵守《中华人民共和国网络安全法》《中华人民共和国数据安全法》《中华人民共和国个人信息保护法》等法律法规；</w:t>
      </w:r>
    </w:p>
    <w:p w14:paraId="1D2D0B6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4.核心数据加密存储，隐私数据脱敏处理。</w:t>
      </w:r>
    </w:p>
    <w:p w14:paraId="50B50642">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（四）知识产权要求</w:t>
      </w:r>
    </w:p>
    <w:p w14:paraId="20A36740">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1.本项目全部知识产权（包括但不限于源代码、目标代码、架构设计、数据库设计、UI设计、技术文档、接口规范等）归甲方所有；</w:t>
      </w:r>
    </w:p>
    <w:p w14:paraId="16E67A2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2.须明确区分甲方专属定制成果、委托方既有通用组件、第三方SDK及开源组件的交付边界。</w:t>
      </w:r>
    </w:p>
    <w:p w14:paraId="1483117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（五）实施与交付要求</w:t>
      </w:r>
    </w:p>
    <w:p w14:paraId="583469FA">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1.项目总工期约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个月，上线后设置不超过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个月运维并行期，由第三方主导运维，甲方人员全程跟岗；</w:t>
      </w:r>
    </w:p>
    <w:p w14:paraId="562BD61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2.交付完整运维文档，组织多轮系统培训，目标1年内甲方具备独立运维能力。</w:t>
      </w:r>
    </w:p>
    <w:p w14:paraId="574A2F6F">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五、报名需提交资料</w:t>
      </w:r>
    </w:p>
    <w:p w14:paraId="6FC427A1">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供应商报名须提交以下资料（统一整合为一个PDF文件，严禁分多文件上传）：</w:t>
      </w:r>
    </w:p>
    <w:p w14:paraId="08685A53">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供应商信息：企业名称、联系人、电话、接收文件邮箱；</w:t>
      </w:r>
      <w:r>
        <w:rPr>
          <w:rFonts w:hint="eastAsia" w:ascii="仿宋_GB2312" w:hAnsi="仿宋_GB2312" w:eastAsia="仿宋_GB2312" w:cs="仿宋_GB2312"/>
          <w:sz w:val="32"/>
          <w:szCs w:val="32"/>
        </w:rPr>
        <w:t>有效营业执照</w:t>
      </w:r>
      <w:bookmarkStart w:id="0" w:name="_GoBack"/>
      <w:bookmarkEnd w:id="0"/>
      <w:r>
        <w:rPr>
          <w:rFonts w:hint="eastAsia" w:ascii="仿宋_GB2312" w:hAnsi="仿宋_GB2312" w:eastAsia="仿宋_GB2312" w:cs="仿宋_GB2312"/>
          <w:sz w:val="32"/>
          <w:szCs w:val="32"/>
        </w:rPr>
        <w:t>副本（加盖公章）；</w:t>
      </w:r>
    </w:p>
    <w:p w14:paraId="61415D7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2.软件开发相关资质证书：CMMI认证证书、ISO 27001信息安全管理体系认证证书、软件企业认定证书（双软认证）等（如有）；</w:t>
      </w:r>
    </w:p>
    <w:p w14:paraId="4DD1DB8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3.法定代表人身份证明及授权委托书：法定代表人身份证复印件及授权委托书（如由被授权人办理报名）；</w:t>
      </w:r>
    </w:p>
    <w:p w14:paraId="5503F56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4.近3年相关项目业绩证明：电商、社区团购、智慧零售或微信小程序开发相关项目的合同首页、金额页及验收报告（须能体现项目内容、规模及完成情况）；</w:t>
      </w:r>
    </w:p>
    <w:p w14:paraId="5562B80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5.成熟软件产品资料（如有）：产品介绍、功能清单、演示视频或可演示环境说明；</w:t>
      </w:r>
    </w:p>
    <w:p w14:paraId="60F2865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6.技术团队配置说明：拟投入本项目的人员清单、角色分工及相关资质证书；</w:t>
      </w:r>
    </w:p>
    <w:p w14:paraId="4B11F7E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7.补充材料：企业简介、技术能力说明、项目实施方案等相关材料。</w:t>
      </w:r>
    </w:p>
    <w:p w14:paraId="5A6A917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六、报名方式及时间</w:t>
      </w:r>
    </w:p>
    <w:p w14:paraId="055D1DE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1.报名时间：自本公告发布之日起7日内，逾期不予受理。</w:t>
      </w:r>
    </w:p>
    <w:p w14:paraId="7D0F8808">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2.报名方式：将上述报名资料统一整合为一个PDF文件，发送至指定邮箱。</w:t>
      </w:r>
    </w:p>
    <w:p w14:paraId="147AC55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3.联系方式：</w:t>
      </w:r>
    </w:p>
    <w:p w14:paraId="1631C5E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-采购联系人：张沁冰</w:t>
      </w:r>
    </w:p>
    <w:p w14:paraId="4532B391">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-联系电话：17797549180</w:t>
      </w:r>
    </w:p>
    <w:p w14:paraId="768AFEC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-技术联系人：王欢</w:t>
      </w:r>
    </w:p>
    <w:p w14:paraId="4256BE3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-联系电话：18710300367</w:t>
      </w:r>
    </w:p>
    <w:p w14:paraId="72A492A8">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-联系邮箱：zygfcgxmbj@126.com</w:t>
      </w:r>
    </w:p>
    <w:p w14:paraId="6CC9CE8A">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-邮件主题格式：商品销售小程序供应商寻源+企业全称+供应商报名资料</w:t>
      </w:r>
    </w:p>
    <w:p w14:paraId="4512391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七、审核及入选流程</w:t>
      </w:r>
    </w:p>
    <w:p w14:paraId="3F7DC8BB">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审核及入选流程分为以下阶段：</w:t>
      </w:r>
    </w:p>
    <w:p w14:paraId="00F67C5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1.资料初审：我司对报名供应商提交的资料进行完整性、合规性初审，不符合条件或资料不全的，不予进入后续评审环节。</w:t>
      </w:r>
    </w:p>
    <w:p w14:paraId="50A80403">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2.技术方案评审：对初审合格的供应商进行技术方案评审，重点评估系统架构设计、业务功能实现路径、性能保障措施、安全合规方案及项目实施方案的可行性与合理性。</w:t>
      </w:r>
    </w:p>
    <w:p w14:paraId="09DD0FAA">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3.产品演示与POC验证：对具备成熟软件产品的供应商，安排产品功能演示及概念验证（POC），重点验证核心功能实现程度、系统性能表现及业务匹配度。</w:t>
      </w:r>
    </w:p>
    <w:p w14:paraId="6380D0F5">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4.综合评审：综合考量供应商资质、项目经验、技术方案、产品成熟度、团队能力、报价合理性等因素，形成综合评审意见，确定入选供应商名单。</w:t>
      </w:r>
    </w:p>
    <w:p w14:paraId="440D0322">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八</w:t>
      </w:r>
      <w:r>
        <w:rPr>
          <w:rFonts w:hint="eastAsia" w:ascii="黑体" w:hAnsi="黑体" w:eastAsia="黑体" w:cs="黑体"/>
          <w:b w:val="0"/>
          <w:bCs/>
          <w:sz w:val="32"/>
          <w:szCs w:val="32"/>
        </w:rPr>
        <w:t>、其他说明</w:t>
      </w:r>
    </w:p>
    <w:p w14:paraId="16B8B23C">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1.不收费：本次供应商寻源不向报名供应商收取任何费用。</w:t>
      </w:r>
    </w:p>
    <w:p w14:paraId="253AA281">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2.资料真实性：供应商须对所提交资料的真实性、合法性负责，如发现弄虚作假，我司将取消其报名资格，并保留追究相关责任的权利。</w:t>
      </w:r>
    </w:p>
    <w:p w14:paraId="5E79A31D">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3.储备备案性质：本次寻源为供应商储备备案性质，入选供应商纳入我司软件供应商库，我司将根据实际项目需求择优选取合作单位。</w:t>
      </w:r>
    </w:p>
    <w:p w14:paraId="26535758">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4.知识产权与保密：参与本次寻源活动的供应商须对所获取的项目信息严格保密，不得对外泄露；合作期间的知识产权归属及相关保密义务按合同约定执行。</w:t>
      </w:r>
    </w:p>
    <w:p w14:paraId="12EB657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5.解释权：本公告最终解释权归兰州庄园牧场股份有限公司所有。</w:t>
      </w:r>
    </w:p>
    <w:p w14:paraId="1CD8BC29">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36C7F947">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p>
    <w:p w14:paraId="37314364">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p>
    <w:p w14:paraId="6F165B4D">
      <w:pPr>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p>
    <w:p w14:paraId="1E6210BF">
      <w:pPr>
        <w:keepNext w:val="0"/>
        <w:keepLines w:val="0"/>
        <w:pageBreakBefore w:val="0"/>
        <w:widowControl/>
        <w:kinsoku/>
        <w:wordWrap/>
        <w:overflowPunct/>
        <w:topLinePunct w:val="0"/>
        <w:autoSpaceDE/>
        <w:autoSpaceDN/>
        <w:bidi w:val="0"/>
        <w:adjustRightInd/>
        <w:snapToGrid/>
        <w:spacing w:after="0"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兰州庄园牧场股份有限公司</w:t>
      </w:r>
    </w:p>
    <w:p w14:paraId="4ABDF222">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2026年9月4日</w:t>
      </w:r>
    </w:p>
    <w:sectPr>
      <w:pgSz w:w="12240" w:h="15840"/>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A59C4E-E5A4-49BA-9F4F-E0C4EEA875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panose1 w:val="02060409020205020404"/>
    <w:charset w:val="00"/>
    <w:family w:val="auto"/>
    <w:pitch w:val="default"/>
    <w:sig w:usb0="00000000" w:usb1="00000000" w:usb2="00000000" w:usb3="00000000" w:csb0="00000000" w:csb1="00000000"/>
  </w:font>
  <w:font w:name="ＭＳ 明朝">
    <w:altName w:val="Yu Gothic"/>
    <w:panose1 w:val="00000000000000000000"/>
    <w:charset w:val="80"/>
    <w:family w:val="roman"/>
    <w:pitch w:val="default"/>
    <w:sig w:usb0="00000000" w:usb1="00000000" w:usb2="00000010" w:usb3="00000000" w:csb0="00020000" w:csb1="00000000"/>
  </w:font>
  <w:font w:name="仓耳玄三M W05">
    <w:altName w:val="Yu Gothic UI Semilight"/>
    <w:panose1 w:val="02020400000000000000"/>
    <w:charset w:val="80"/>
    <w:family w:val="auto"/>
    <w:pitch w:val="default"/>
    <w:sig w:usb0="00000000" w:usb1="00000000" w:usb2="00000012" w:usb3="00000000" w:csb0="00020001" w:csb1="00000000"/>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F615EC0D-22D9-43A5-801A-68BF8DAAC7FA}"/>
  </w:font>
  <w:font w:name="仿宋_GB2312">
    <w:panose1 w:val="02010609030101010101"/>
    <w:charset w:val="86"/>
    <w:family w:val="auto"/>
    <w:pitch w:val="default"/>
    <w:sig w:usb0="00000001" w:usb1="080E0000" w:usb2="00000000" w:usb3="00000000" w:csb0="00040000" w:csb1="00000000"/>
    <w:embedRegular r:id="rId3" w:fontKey="{FE0D8ACE-1162-4D16-B0D7-261CE88378B0}"/>
  </w:font>
  <w:font w:name="楷体_GB2312">
    <w:panose1 w:val="02010609030101010101"/>
    <w:charset w:val="86"/>
    <w:family w:val="auto"/>
    <w:pitch w:val="default"/>
    <w:sig w:usb0="00000001" w:usb1="080E0000" w:usb2="00000000" w:usb3="00000000" w:csb0="00040000" w:csb1="00000000"/>
    <w:embedRegular r:id="rId4" w:fontKey="{F99E1E82-2C44-4EBA-83FF-DF80F311547A}"/>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6F637C4"/>
    <w:rsid w:val="5C2201F2"/>
    <w:rsid w:val="6AF67968"/>
    <w:rsid w:val="72E753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2750</Words>
  <Characters>2876</Characters>
  <Lines>0</Lines>
  <Paragraphs>0</Paragraphs>
  <TotalTime>1</TotalTime>
  <ScaleCrop>false</ScaleCrop>
  <LinksUpToDate>false</LinksUpToDate>
  <CharactersWithSpaces>2913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流年@忘却的记忆</cp:lastModifiedBy>
  <dcterms:modified xsi:type="dcterms:W3CDTF">2026-09-04T09:54:58Z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eyJoZGlkIjoiMDZiOWRmMzk4YzI3YzdmNWQyZmM2MTFlNWFmYjUyOWIiLCJ1c2VySWQiOiIxMDMxMzk3MzY2In0=</vt:lpwstr>
  </property>
  <property fmtid="{D5CDD505-2E9C-101B-9397-08002B2CF9AE}" pid="3" name="KSOProductBuildVer">
    <vt:lpwstr>2052-12.1.0.28043</vt:lpwstr>
  </property>
  <property fmtid="{D5CDD505-2E9C-101B-9397-08002B2CF9AE}" pid="4" name="ICV">
    <vt:lpwstr>CE33758F216549FA82331AE02B804670_12</vt:lpwstr>
  </property>
</Properties>
</file>