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80"/>
          <w:tab w:val="left" w:pos="6100"/>
        </w:tabs>
        <w:spacing w:line="239" w:lineRule="auto"/>
        <w:rPr>
          <w:rFonts w:hint="default" w:cs="宋体" w:eastAsiaTheme="minorEastAsia"/>
          <w:b/>
          <w:bCs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zh-TW"/>
        </w:rPr>
        <w:t>证券代码：002910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zh-TW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zh-TW"/>
        </w:rPr>
        <w:t xml:space="preserve"> 证券简称：庄园牧场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zh-TW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zh-TW"/>
        </w:rPr>
        <w:t xml:space="preserve"> 公告编号：202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zh-TW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45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Cs w:val="21"/>
          <w:highlight w:val="none"/>
        </w:rPr>
      </w:pPr>
    </w:p>
    <w:p>
      <w:pPr>
        <w:autoSpaceDE w:val="0"/>
        <w:autoSpaceDN w:val="0"/>
        <w:adjustRightInd w:val="0"/>
        <w:spacing w:after="40" w:line="240" w:lineRule="auto"/>
        <w:jc w:val="center"/>
        <w:rPr>
          <w:rFonts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兰州庄园牧场股份有限公司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2024年半年度业绩预告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tLeast"/>
              <w:ind w:firstLine="482" w:firstLineChars="20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cs="宋体"/>
                <w:b/>
                <w:bCs/>
                <w:sz w:val="24"/>
                <w:highlight w:val="none"/>
                <w:lang w:val="zh-TW"/>
              </w:rPr>
              <w:t>本公司及董事会全体成员保证</w:t>
            </w:r>
            <w:r>
              <w:rPr>
                <w:rFonts w:hint="eastAsia" w:cs="宋体"/>
                <w:b/>
                <w:bCs/>
                <w:sz w:val="24"/>
                <w:highlight w:val="none"/>
                <w:lang w:val="zh-TW"/>
              </w:rPr>
              <w:t>信息披露的</w:t>
            </w:r>
            <w:r>
              <w:rPr>
                <w:rFonts w:cs="宋体"/>
                <w:b/>
                <w:bCs/>
                <w:sz w:val="24"/>
                <w:highlight w:val="none"/>
                <w:lang w:val="zh-TW"/>
              </w:rPr>
              <w:t>内容真实、准确</w:t>
            </w:r>
            <w:r>
              <w:rPr>
                <w:rFonts w:hint="eastAsia" w:cs="宋体"/>
                <w:b/>
                <w:bCs/>
                <w:sz w:val="24"/>
                <w:highlight w:val="none"/>
                <w:lang w:val="zh-TW"/>
              </w:rPr>
              <w:t>、</w:t>
            </w:r>
            <w:r>
              <w:rPr>
                <w:rFonts w:cs="宋体"/>
                <w:b/>
                <w:bCs/>
                <w:sz w:val="24"/>
                <w:highlight w:val="none"/>
                <w:lang w:val="zh-TW"/>
              </w:rPr>
              <w:t>完整，没有虚假记载、误导性陈述或重大遗漏。</w:t>
            </w:r>
          </w:p>
        </w:tc>
      </w:tr>
    </w:tbl>
    <w:p>
      <w:pPr>
        <w:autoSpaceDE w:val="0"/>
        <w:autoSpaceDN w:val="0"/>
        <w:adjustRightInd w:val="0"/>
        <w:rPr>
          <w:rFonts w:ascii="宋体" w:hAnsi="宋体"/>
          <w:sz w:val="24"/>
          <w:highlight w:val="non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156" w:beforeLines="50" w:line="360" w:lineRule="auto"/>
        <w:ind w:firstLine="482" w:firstLineChars="200"/>
        <w:outlineLvl w:val="0"/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本期业绩预计情况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156" w:beforeLines="50" w:line="360" w:lineRule="auto"/>
        <w:ind w:firstLine="480" w:firstLineChars="200"/>
        <w:outlineLvl w:val="0"/>
        <w:rPr>
          <w:rFonts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业绩预告期间：2024年1月1日至2024年6月30日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before="156" w:beforeLines="50" w:after="400" w:line="360" w:lineRule="auto"/>
        <w:ind w:firstLine="480" w:firstLineChars="200"/>
        <w:outlineLvl w:val="0"/>
        <w:rPr>
          <w:rFonts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 xml:space="preserve">预计的经营业绩： 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sym w:font="Wingdings 2" w:char="0052"/>
      </w:r>
      <w:r>
        <w:rPr>
          <w:rFonts w:hint="eastAsia" w:ascii="宋体" w:hAnsi="宋体" w:cs="宋体"/>
          <w:bCs/>
          <w:kern w:val="0"/>
          <w:sz w:val="24"/>
          <w:highlight w:val="none"/>
        </w:rPr>
        <w:t>预计净利润为负值</w:t>
      </w:r>
    </w:p>
    <w:tbl>
      <w:tblPr>
        <w:tblStyle w:val="11"/>
        <w:tblW w:w="82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3645"/>
        <w:gridCol w:w="23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05" w:type="dxa"/>
            <w:tcBorders>
              <w:tl2br w:val="nil"/>
              <w:tr2bl w:val="nil"/>
            </w:tcBorders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3645" w:type="dxa"/>
            <w:tcBorders>
              <w:tl2br w:val="nil"/>
              <w:tr2bl w:val="nil"/>
            </w:tcBorders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本报告期</w:t>
            </w:r>
          </w:p>
        </w:tc>
        <w:tc>
          <w:tcPr>
            <w:tcW w:w="2310" w:type="dxa"/>
            <w:tcBorders>
              <w:tl2br w:val="nil"/>
              <w:tr2bl w:val="nil"/>
            </w:tcBorders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上年同期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归属于上市公司股东的净利润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亏损：7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,000</w:t>
            </w:r>
            <w:r>
              <w:rPr>
                <w:rFonts w:hint="eastAsia" w:ascii="宋体" w:hAnsi="宋体"/>
                <w:color w:val="333333"/>
                <w:highlight w:val="none"/>
                <w:shd w:val="clear" w:color="auto" w:fill="FFFFFF"/>
              </w:rPr>
              <w:t>万元—9</w:t>
            </w:r>
            <w:r>
              <w:rPr>
                <w:rFonts w:ascii="宋体" w:hAnsi="宋体"/>
                <w:color w:val="333333"/>
                <w:highlight w:val="none"/>
                <w:shd w:val="clear" w:color="auto" w:fill="FFFFFF"/>
              </w:rPr>
              <w:t>,500</w:t>
            </w:r>
            <w:r>
              <w:rPr>
                <w:rFonts w:hint="eastAsia" w:ascii="宋体" w:hAnsi="宋体"/>
                <w:color w:val="333333"/>
                <w:highlight w:val="none"/>
                <w:shd w:val="clear" w:color="auto" w:fill="FFFFFF"/>
              </w:rPr>
              <w:t>万元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亏损：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2,016.33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扣除非经常性损益后的净利润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亏损：7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,200</w:t>
            </w:r>
            <w:r>
              <w:rPr>
                <w:rFonts w:hint="eastAsia" w:ascii="宋体" w:hAnsi="宋体"/>
                <w:color w:val="333333"/>
                <w:highlight w:val="none"/>
                <w:shd w:val="clear" w:color="auto" w:fill="FFFFFF"/>
              </w:rPr>
              <w:t>万元—9</w:t>
            </w:r>
            <w:r>
              <w:rPr>
                <w:rFonts w:ascii="宋体" w:hAnsi="宋体"/>
                <w:color w:val="333333"/>
                <w:highlight w:val="none"/>
                <w:shd w:val="clear" w:color="auto" w:fill="FFFFFF"/>
              </w:rPr>
              <w:t>,700</w:t>
            </w:r>
            <w:r>
              <w:rPr>
                <w:rFonts w:hint="eastAsia" w:ascii="宋体" w:hAnsi="宋体"/>
                <w:color w:val="333333"/>
                <w:highlight w:val="none"/>
                <w:shd w:val="clear" w:color="auto" w:fill="FFFFFF"/>
              </w:rPr>
              <w:t>万元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亏损：2,413.14万元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基本每股收益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亏损：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0.36</w:t>
            </w:r>
            <w:r>
              <w:rPr>
                <w:rFonts w:hint="eastAsia" w:ascii="宋体" w:hAnsi="宋体"/>
                <w:color w:val="333333"/>
                <w:highlight w:val="none"/>
                <w:shd w:val="clear" w:color="auto" w:fill="FFFFFF"/>
              </w:rPr>
              <w:t>元/股—</w:t>
            </w:r>
            <w:r>
              <w:rPr>
                <w:rFonts w:ascii="宋体" w:hAnsi="宋体"/>
                <w:color w:val="333333"/>
                <w:highlight w:val="none"/>
                <w:shd w:val="clear" w:color="auto" w:fill="FFFFFF"/>
              </w:rPr>
              <w:t>0.49</w:t>
            </w:r>
            <w:r>
              <w:rPr>
                <w:rFonts w:hint="eastAsia" w:ascii="宋体" w:hAnsi="宋体"/>
                <w:color w:val="333333"/>
                <w:highlight w:val="none"/>
                <w:shd w:val="clear" w:color="auto" w:fill="FFFFFF"/>
              </w:rPr>
              <w:t>元/股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亏损：</w:t>
            </w:r>
            <w:r>
              <w:rPr>
                <w:rFonts w:ascii="宋体" w:hAnsi="宋体" w:cs="宋体"/>
                <w:kern w:val="0"/>
                <w:szCs w:val="21"/>
                <w:highlight w:val="none"/>
              </w:rPr>
              <w:t>0.10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元/股</w:t>
            </w:r>
          </w:p>
        </w:tc>
      </w:tr>
    </w:tbl>
    <w:p>
      <w:pPr>
        <w:snapToGrid w:val="0"/>
        <w:spacing w:after="156" w:afterLines="50" w:line="240" w:lineRule="auto"/>
        <w:jc w:val="left"/>
        <w:rPr>
          <w:rFonts w:ascii="宋体" w:hAnsi="宋体" w:cs="宋体"/>
          <w:kern w:val="0"/>
          <w:szCs w:val="21"/>
          <w:highlight w:val="none"/>
        </w:rPr>
      </w:pPr>
    </w:p>
    <w:p>
      <w:pPr>
        <w:autoSpaceDE w:val="0"/>
        <w:autoSpaceDN w:val="0"/>
        <w:adjustRightInd w:val="0"/>
        <w:spacing w:before="156" w:beforeLines="50" w:line="360" w:lineRule="auto"/>
        <w:ind w:left="420" w:leftChars="200"/>
        <w:outlineLvl w:val="0"/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二、与会计师事务所沟通情况</w:t>
      </w:r>
    </w:p>
    <w:p>
      <w:pPr>
        <w:autoSpaceDE w:val="0"/>
        <w:autoSpaceDN w:val="0"/>
        <w:adjustRightInd w:val="0"/>
        <w:spacing w:before="156" w:beforeLines="50" w:line="360" w:lineRule="auto"/>
        <w:ind w:firstLine="480" w:firstLineChars="200"/>
        <w:outlineLvl w:val="0"/>
        <w:rPr>
          <w:rFonts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公司就本次业绩预告与会计师事务所进行了预沟通，公司与会计师事务所在业绩预告方面不存在分歧。本次业绩预告的相关数据未经会计师事务所审计。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before="156" w:beforeLines="50" w:line="360" w:lineRule="auto"/>
        <w:ind w:firstLine="482" w:firstLineChars="200"/>
        <w:outlineLvl w:val="0"/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业绩变动原因说明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before="156" w:beforeLines="50" w:line="360" w:lineRule="auto"/>
        <w:ind w:firstLine="495"/>
        <w:outlineLvl w:val="0"/>
        <w:rPr>
          <w:rFonts w:hint="eastAsia" w:ascii="宋体" w:hAnsi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报告期乳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制品</w:t>
      </w:r>
      <w:r>
        <w:rPr>
          <w:rFonts w:hint="eastAsia" w:ascii="宋体" w:hAnsi="宋体" w:cs="宋体"/>
          <w:kern w:val="0"/>
          <w:sz w:val="24"/>
          <w:highlight w:val="none"/>
        </w:rPr>
        <w:t>供给不断扩张，终端消费市场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需求</w:t>
      </w:r>
      <w:r>
        <w:rPr>
          <w:rFonts w:hint="eastAsia" w:ascii="宋体" w:hAnsi="宋体" w:cs="宋体"/>
          <w:kern w:val="0"/>
          <w:sz w:val="24"/>
          <w:highlight w:val="none"/>
        </w:rPr>
        <w:t>放缓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before="156" w:beforeLines="50" w:line="360" w:lineRule="auto"/>
        <w:ind w:firstLine="495"/>
        <w:outlineLvl w:val="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市场竞争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激烈</w:t>
      </w:r>
      <w:r>
        <w:rPr>
          <w:rFonts w:hint="eastAsia" w:ascii="宋体" w:hAnsi="宋体" w:cs="宋体"/>
          <w:kern w:val="0"/>
          <w:sz w:val="24"/>
          <w:highlight w:val="none"/>
        </w:rPr>
        <w:t>，导致公司投入持续扩大，销售费用同比增加。</w:t>
      </w:r>
    </w:p>
    <w:p>
      <w:pPr>
        <w:numPr>
          <w:ilvl w:val="0"/>
          <w:numId w:val="4"/>
        </w:numPr>
        <w:autoSpaceDE w:val="0"/>
        <w:autoSpaceDN w:val="0"/>
        <w:adjustRightInd w:val="0"/>
        <w:spacing w:before="156" w:beforeLines="50" w:line="360" w:lineRule="auto"/>
        <w:ind w:firstLine="495"/>
        <w:outlineLvl w:val="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报告期公司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整体成本上升</w:t>
      </w:r>
      <w:r>
        <w:rPr>
          <w:rFonts w:hint="eastAsia" w:ascii="宋体" w:hAnsi="宋体" w:cs="宋体"/>
          <w:kern w:val="0"/>
          <w:sz w:val="24"/>
          <w:highlight w:val="none"/>
        </w:rPr>
        <w:t>及毛利下降幅度较大。</w:t>
      </w:r>
    </w:p>
    <w:p>
      <w:pPr>
        <w:autoSpaceDE w:val="0"/>
        <w:autoSpaceDN w:val="0"/>
        <w:adjustRightInd w:val="0"/>
        <w:spacing w:before="156" w:beforeLines="50" w:line="360" w:lineRule="auto"/>
        <w:ind w:firstLine="482" w:firstLineChars="200"/>
        <w:outlineLvl w:val="0"/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四、其他相关说明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本次业绩预告是公司财务部门初步测算的结果，公司2024年半年度的具体财务数据以公司正式披露的2024年半年度报告为准。敬请广大投资者谨慎决策，注意投资风险。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</w:p>
    <w:p>
      <w:pPr>
        <w:pStyle w:val="5"/>
        <w:spacing w:line="500" w:lineRule="exact"/>
        <w:ind w:firstLine="4080" w:firstLineChars="1700"/>
        <w:rPr>
          <w:rFonts w:ascii="宋体" w:hAnsi="宋体" w:cs="宋体"/>
          <w:kern w:val="0"/>
          <w:sz w:val="24"/>
          <w:highlight w:val="none"/>
        </w:rPr>
      </w:pPr>
    </w:p>
    <w:p>
      <w:pPr>
        <w:pStyle w:val="5"/>
        <w:spacing w:line="500" w:lineRule="exact"/>
        <w:ind w:firstLine="4080" w:firstLineChars="1700"/>
        <w:rPr>
          <w:rFonts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兰州庄园牧场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股份有限公司董事会</w:t>
      </w:r>
    </w:p>
    <w:p>
      <w:pPr>
        <w:pStyle w:val="5"/>
        <w:spacing w:line="500" w:lineRule="exact"/>
        <w:ind w:firstLine="480" w:firstLineChars="200"/>
        <w:rPr>
          <w:highlight w:val="none"/>
        </w:rPr>
      </w:pPr>
      <w:r>
        <w:rPr>
          <w:rFonts w:hint="eastAsia" w:ascii="宋体" w:hAnsi="宋体"/>
          <w:kern w:val="0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宋体" w:hAnsi="宋体"/>
          <w:kern w:val="0"/>
          <w:sz w:val="24"/>
          <w:szCs w:val="24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kern w:val="0"/>
          <w:sz w:val="24"/>
          <w:szCs w:val="24"/>
          <w:highlight w:val="none"/>
        </w:rPr>
        <w:t>2024年7月1</w:t>
      </w:r>
      <w:r>
        <w:rPr>
          <w:rFonts w:hint="eastAsia" w:ascii="宋体" w:hAnsi="宋体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kern w:val="0"/>
          <w:sz w:val="24"/>
          <w:szCs w:val="24"/>
          <w:highlight w:val="none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6190F"/>
    <w:multiLevelType w:val="singleLevel"/>
    <w:tmpl w:val="AAE619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108E1A"/>
    <w:multiLevelType w:val="singleLevel"/>
    <w:tmpl w:val="F9108E1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AA05831"/>
    <w:multiLevelType w:val="singleLevel"/>
    <w:tmpl w:val="FAA058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46B117"/>
    <w:multiLevelType w:val="singleLevel"/>
    <w:tmpl w:val="4246B1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YWFkODE0ZjJjMmFmZDhiYmFmZDk5ODM4YTA1MTMifQ=="/>
  </w:docVars>
  <w:rsids>
    <w:rsidRoot w:val="008C620F"/>
    <w:rsid w:val="00016A9C"/>
    <w:rsid w:val="00021E2A"/>
    <w:rsid w:val="0004449E"/>
    <w:rsid w:val="00047B31"/>
    <w:rsid w:val="00087D8D"/>
    <w:rsid w:val="000A7EA4"/>
    <w:rsid w:val="000E504A"/>
    <w:rsid w:val="000F4A90"/>
    <w:rsid w:val="00101BF9"/>
    <w:rsid w:val="001052DD"/>
    <w:rsid w:val="00117B65"/>
    <w:rsid w:val="00123A48"/>
    <w:rsid w:val="00137534"/>
    <w:rsid w:val="00137EB0"/>
    <w:rsid w:val="001405E9"/>
    <w:rsid w:val="00142360"/>
    <w:rsid w:val="00142FFA"/>
    <w:rsid w:val="001550EC"/>
    <w:rsid w:val="00175157"/>
    <w:rsid w:val="0019031B"/>
    <w:rsid w:val="00193B31"/>
    <w:rsid w:val="001A4CA9"/>
    <w:rsid w:val="001B0ECA"/>
    <w:rsid w:val="001D0E42"/>
    <w:rsid w:val="001D3046"/>
    <w:rsid w:val="001E3454"/>
    <w:rsid w:val="001E76AF"/>
    <w:rsid w:val="001F4051"/>
    <w:rsid w:val="0020133D"/>
    <w:rsid w:val="00250971"/>
    <w:rsid w:val="002802E1"/>
    <w:rsid w:val="00281767"/>
    <w:rsid w:val="00290112"/>
    <w:rsid w:val="00296C4F"/>
    <w:rsid w:val="002B66FE"/>
    <w:rsid w:val="002C2AEF"/>
    <w:rsid w:val="002D766F"/>
    <w:rsid w:val="0030435B"/>
    <w:rsid w:val="00305DE6"/>
    <w:rsid w:val="00320D90"/>
    <w:rsid w:val="00332B64"/>
    <w:rsid w:val="003352AA"/>
    <w:rsid w:val="003721D4"/>
    <w:rsid w:val="0038511C"/>
    <w:rsid w:val="00392E82"/>
    <w:rsid w:val="003B704A"/>
    <w:rsid w:val="003C4F8F"/>
    <w:rsid w:val="003D3FFF"/>
    <w:rsid w:val="003E6EC0"/>
    <w:rsid w:val="00403CDA"/>
    <w:rsid w:val="00404CB9"/>
    <w:rsid w:val="004130FF"/>
    <w:rsid w:val="00414C67"/>
    <w:rsid w:val="00416ADB"/>
    <w:rsid w:val="004274A0"/>
    <w:rsid w:val="00431B0B"/>
    <w:rsid w:val="00464E36"/>
    <w:rsid w:val="00466FB3"/>
    <w:rsid w:val="004769FB"/>
    <w:rsid w:val="0047772B"/>
    <w:rsid w:val="00477DF8"/>
    <w:rsid w:val="004C7768"/>
    <w:rsid w:val="004C778F"/>
    <w:rsid w:val="004D76CC"/>
    <w:rsid w:val="00500B6F"/>
    <w:rsid w:val="0050497E"/>
    <w:rsid w:val="00537446"/>
    <w:rsid w:val="00542713"/>
    <w:rsid w:val="0055765C"/>
    <w:rsid w:val="005658D2"/>
    <w:rsid w:val="00570A81"/>
    <w:rsid w:val="005A3639"/>
    <w:rsid w:val="005D34F5"/>
    <w:rsid w:val="005E0F94"/>
    <w:rsid w:val="00606CF6"/>
    <w:rsid w:val="0061520E"/>
    <w:rsid w:val="0062188B"/>
    <w:rsid w:val="00646C7A"/>
    <w:rsid w:val="00646C9C"/>
    <w:rsid w:val="006653EC"/>
    <w:rsid w:val="006668E9"/>
    <w:rsid w:val="006A616D"/>
    <w:rsid w:val="006A6D08"/>
    <w:rsid w:val="006A6EA4"/>
    <w:rsid w:val="006B51E5"/>
    <w:rsid w:val="006C2D20"/>
    <w:rsid w:val="006C5CC8"/>
    <w:rsid w:val="006C62BF"/>
    <w:rsid w:val="006D2888"/>
    <w:rsid w:val="006D5525"/>
    <w:rsid w:val="006E18C1"/>
    <w:rsid w:val="00732A72"/>
    <w:rsid w:val="007343BD"/>
    <w:rsid w:val="007351E6"/>
    <w:rsid w:val="00743480"/>
    <w:rsid w:val="00756A91"/>
    <w:rsid w:val="007702FA"/>
    <w:rsid w:val="00773387"/>
    <w:rsid w:val="00783AA0"/>
    <w:rsid w:val="00794777"/>
    <w:rsid w:val="00796230"/>
    <w:rsid w:val="00797FFE"/>
    <w:rsid w:val="007B2342"/>
    <w:rsid w:val="007B3FCA"/>
    <w:rsid w:val="007B40E1"/>
    <w:rsid w:val="007F7DE6"/>
    <w:rsid w:val="0084563F"/>
    <w:rsid w:val="008538A2"/>
    <w:rsid w:val="00854333"/>
    <w:rsid w:val="00860EF4"/>
    <w:rsid w:val="0089243D"/>
    <w:rsid w:val="008C620F"/>
    <w:rsid w:val="008D558E"/>
    <w:rsid w:val="008E4F58"/>
    <w:rsid w:val="008F28DA"/>
    <w:rsid w:val="0090188E"/>
    <w:rsid w:val="00902AE3"/>
    <w:rsid w:val="0091046D"/>
    <w:rsid w:val="009230FC"/>
    <w:rsid w:val="00954484"/>
    <w:rsid w:val="00956169"/>
    <w:rsid w:val="009B2EB8"/>
    <w:rsid w:val="009B5957"/>
    <w:rsid w:val="009B6534"/>
    <w:rsid w:val="009C4AF8"/>
    <w:rsid w:val="009E271A"/>
    <w:rsid w:val="009F426B"/>
    <w:rsid w:val="009F7C6E"/>
    <w:rsid w:val="00A02735"/>
    <w:rsid w:val="00A17060"/>
    <w:rsid w:val="00A318CC"/>
    <w:rsid w:val="00A33625"/>
    <w:rsid w:val="00A36CA5"/>
    <w:rsid w:val="00A37760"/>
    <w:rsid w:val="00A4313E"/>
    <w:rsid w:val="00A5753B"/>
    <w:rsid w:val="00A67E13"/>
    <w:rsid w:val="00A807C4"/>
    <w:rsid w:val="00B1726A"/>
    <w:rsid w:val="00B22916"/>
    <w:rsid w:val="00B35D7A"/>
    <w:rsid w:val="00B369A0"/>
    <w:rsid w:val="00B4496A"/>
    <w:rsid w:val="00B51FFD"/>
    <w:rsid w:val="00B57B38"/>
    <w:rsid w:val="00B72408"/>
    <w:rsid w:val="00B83E7E"/>
    <w:rsid w:val="00BA0FF3"/>
    <w:rsid w:val="00BB3FA7"/>
    <w:rsid w:val="00BE437A"/>
    <w:rsid w:val="00BF10E6"/>
    <w:rsid w:val="00C1057A"/>
    <w:rsid w:val="00C12F3C"/>
    <w:rsid w:val="00C579C9"/>
    <w:rsid w:val="00CA6EAF"/>
    <w:rsid w:val="00CC0B0B"/>
    <w:rsid w:val="00CE0DDC"/>
    <w:rsid w:val="00CE33DC"/>
    <w:rsid w:val="00CF51B7"/>
    <w:rsid w:val="00CF5AB7"/>
    <w:rsid w:val="00D00B72"/>
    <w:rsid w:val="00D244FC"/>
    <w:rsid w:val="00D52DD5"/>
    <w:rsid w:val="00D53B6D"/>
    <w:rsid w:val="00D72FE5"/>
    <w:rsid w:val="00D912FD"/>
    <w:rsid w:val="00D95952"/>
    <w:rsid w:val="00DA3E6E"/>
    <w:rsid w:val="00DB7A08"/>
    <w:rsid w:val="00DC056A"/>
    <w:rsid w:val="00DF4392"/>
    <w:rsid w:val="00DF4693"/>
    <w:rsid w:val="00E2197D"/>
    <w:rsid w:val="00E26A17"/>
    <w:rsid w:val="00E354A7"/>
    <w:rsid w:val="00E41220"/>
    <w:rsid w:val="00E4656D"/>
    <w:rsid w:val="00E53E08"/>
    <w:rsid w:val="00E61121"/>
    <w:rsid w:val="00E61807"/>
    <w:rsid w:val="00E6457B"/>
    <w:rsid w:val="00EC6E9E"/>
    <w:rsid w:val="00ED64C8"/>
    <w:rsid w:val="00EF1AE7"/>
    <w:rsid w:val="00F03149"/>
    <w:rsid w:val="00F04FEC"/>
    <w:rsid w:val="00F2251F"/>
    <w:rsid w:val="00F30957"/>
    <w:rsid w:val="00F322C3"/>
    <w:rsid w:val="00F4519E"/>
    <w:rsid w:val="00F47A84"/>
    <w:rsid w:val="00F50FC5"/>
    <w:rsid w:val="00FA4D8F"/>
    <w:rsid w:val="00FB4914"/>
    <w:rsid w:val="00FC4B5E"/>
    <w:rsid w:val="00FC617D"/>
    <w:rsid w:val="00FD0534"/>
    <w:rsid w:val="01DB41FB"/>
    <w:rsid w:val="0551398B"/>
    <w:rsid w:val="09CC4C05"/>
    <w:rsid w:val="0E830A55"/>
    <w:rsid w:val="0EA46B05"/>
    <w:rsid w:val="0F405C5B"/>
    <w:rsid w:val="10B74D94"/>
    <w:rsid w:val="119327ED"/>
    <w:rsid w:val="128838D6"/>
    <w:rsid w:val="136D7B53"/>
    <w:rsid w:val="13DB2989"/>
    <w:rsid w:val="14D26187"/>
    <w:rsid w:val="16FF5531"/>
    <w:rsid w:val="17442A9B"/>
    <w:rsid w:val="18F03B6A"/>
    <w:rsid w:val="19250DA4"/>
    <w:rsid w:val="19640000"/>
    <w:rsid w:val="1C6C6961"/>
    <w:rsid w:val="1D060A20"/>
    <w:rsid w:val="1D7A1BB7"/>
    <w:rsid w:val="1D7D3AED"/>
    <w:rsid w:val="1ED06C41"/>
    <w:rsid w:val="204D2190"/>
    <w:rsid w:val="21F50384"/>
    <w:rsid w:val="220F2633"/>
    <w:rsid w:val="223075CB"/>
    <w:rsid w:val="23CC331B"/>
    <w:rsid w:val="24ED6FFF"/>
    <w:rsid w:val="25EB1445"/>
    <w:rsid w:val="295A2B50"/>
    <w:rsid w:val="2A2862A3"/>
    <w:rsid w:val="2A5B0740"/>
    <w:rsid w:val="2CE9744F"/>
    <w:rsid w:val="2DEE163A"/>
    <w:rsid w:val="2DF36751"/>
    <w:rsid w:val="2E100D83"/>
    <w:rsid w:val="2EC00D69"/>
    <w:rsid w:val="2F743040"/>
    <w:rsid w:val="2FDA70C7"/>
    <w:rsid w:val="310C5903"/>
    <w:rsid w:val="319737E6"/>
    <w:rsid w:val="32537F17"/>
    <w:rsid w:val="33C31897"/>
    <w:rsid w:val="35ED3CB9"/>
    <w:rsid w:val="365F7AF7"/>
    <w:rsid w:val="3793648E"/>
    <w:rsid w:val="38372136"/>
    <w:rsid w:val="39AB427F"/>
    <w:rsid w:val="3B1A2538"/>
    <w:rsid w:val="3B29391E"/>
    <w:rsid w:val="3B5542AC"/>
    <w:rsid w:val="3B7E2C41"/>
    <w:rsid w:val="3C810C5C"/>
    <w:rsid w:val="3D1E30BA"/>
    <w:rsid w:val="3E4D6213"/>
    <w:rsid w:val="3F3148F1"/>
    <w:rsid w:val="403D6E9C"/>
    <w:rsid w:val="41A25D3E"/>
    <w:rsid w:val="420F7560"/>
    <w:rsid w:val="426B10B0"/>
    <w:rsid w:val="42D16A26"/>
    <w:rsid w:val="45DD30D7"/>
    <w:rsid w:val="46856C54"/>
    <w:rsid w:val="49611EAF"/>
    <w:rsid w:val="497375F5"/>
    <w:rsid w:val="4A2879B7"/>
    <w:rsid w:val="4A331C29"/>
    <w:rsid w:val="51023782"/>
    <w:rsid w:val="53011AED"/>
    <w:rsid w:val="5312381E"/>
    <w:rsid w:val="53E568F2"/>
    <w:rsid w:val="5545294C"/>
    <w:rsid w:val="56754C24"/>
    <w:rsid w:val="5C044B1F"/>
    <w:rsid w:val="5DF85C61"/>
    <w:rsid w:val="5E5E03C3"/>
    <w:rsid w:val="5E805A6F"/>
    <w:rsid w:val="602D37BA"/>
    <w:rsid w:val="61D062D0"/>
    <w:rsid w:val="62EB3A9C"/>
    <w:rsid w:val="63524B2A"/>
    <w:rsid w:val="66AD28E2"/>
    <w:rsid w:val="66E10743"/>
    <w:rsid w:val="68481DD9"/>
    <w:rsid w:val="69405371"/>
    <w:rsid w:val="6C726FC9"/>
    <w:rsid w:val="6E71421E"/>
    <w:rsid w:val="6EA148D7"/>
    <w:rsid w:val="6F923EA5"/>
    <w:rsid w:val="6FC00C4D"/>
    <w:rsid w:val="71313B16"/>
    <w:rsid w:val="72187A32"/>
    <w:rsid w:val="738A3BF5"/>
    <w:rsid w:val="741356DA"/>
    <w:rsid w:val="746A6679"/>
    <w:rsid w:val="74F656CD"/>
    <w:rsid w:val="7516073C"/>
    <w:rsid w:val="75182627"/>
    <w:rsid w:val="75DE500C"/>
    <w:rsid w:val="782A0C8C"/>
    <w:rsid w:val="7A4F7AAA"/>
    <w:rsid w:val="7A5326C0"/>
    <w:rsid w:val="7AF256B0"/>
    <w:rsid w:val="7AFA7FE5"/>
    <w:rsid w:val="7BA00CA5"/>
    <w:rsid w:val="7BB52C5C"/>
    <w:rsid w:val="7C153E05"/>
    <w:rsid w:val="7D9A2A39"/>
    <w:rsid w:val="7E661652"/>
    <w:rsid w:val="7FE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6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autoRedefine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2"/>
    <w:autoRedefine/>
    <w:unhideWhenUsed/>
    <w:qFormat/>
    <w:uiPriority w:val="99"/>
    <w:pPr>
      <w:jc w:val="left"/>
    </w:pPr>
  </w:style>
  <w:style w:type="paragraph" w:styleId="5">
    <w:name w:val="Body Text Indent 2"/>
    <w:basedOn w:val="1"/>
    <w:link w:val="17"/>
    <w:autoRedefine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autoRedefine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3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unhideWhenUsed/>
    <w:qFormat/>
    <w:uiPriority w:val="99"/>
    <w:rPr>
      <w:sz w:val="16"/>
      <w:szCs w:val="16"/>
    </w:rPr>
  </w:style>
  <w:style w:type="character" w:customStyle="1" w:styleId="14">
    <w:name w:val="页眉 字符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6">
    <w:name w:val="标题 3 字符"/>
    <w:basedOn w:val="12"/>
    <w:link w:val="2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正文文本缩进 2 字符"/>
    <w:basedOn w:val="12"/>
    <w:link w:val="5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9">
    <w:name w:val="批注框文本 字符"/>
    <w:basedOn w:val="12"/>
    <w:link w:val="6"/>
    <w:autoRedefine/>
    <w:semiHidden/>
    <w:qFormat/>
    <w:uiPriority w:val="99"/>
    <w:rPr>
      <w:rFonts w:ascii="Segoe UI" w:hAnsi="Segoe UI" w:cs="Segoe UI"/>
      <w:kern w:val="2"/>
      <w:sz w:val="18"/>
      <w:szCs w:val="18"/>
      <w:lang w:val="en-US"/>
    </w:rPr>
  </w:style>
  <w:style w:type="character" w:customStyle="1" w:styleId="20">
    <w:name w:val="文档结构图 字符"/>
    <w:basedOn w:val="12"/>
    <w:link w:val="3"/>
    <w:autoRedefine/>
    <w:semiHidden/>
    <w:qFormat/>
    <w:uiPriority w:val="99"/>
    <w:rPr>
      <w:rFonts w:ascii="宋体"/>
      <w:kern w:val="2"/>
      <w:sz w:val="18"/>
      <w:szCs w:val="18"/>
      <w:lang w:val="en-US"/>
    </w:rPr>
  </w:style>
  <w:style w:type="paragraph" w:customStyle="1" w:styleId="2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2">
    <w:name w:val="批注文字 字符"/>
    <w:basedOn w:val="12"/>
    <w:link w:val="4"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23">
    <w:name w:val="批注主题 字符"/>
    <w:basedOn w:val="22"/>
    <w:link w:val="9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KPMG</Company>
  <Pages>2</Pages>
  <Words>499</Words>
  <Characters>570</Characters>
  <Lines>41</Lines>
  <Paragraphs>28</Paragraphs>
  <TotalTime>265</TotalTime>
  <ScaleCrop>false</ScaleCrop>
  <LinksUpToDate>false</LinksUpToDate>
  <CharactersWithSpaces>616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2022-01-27T02:17:00Z</dcterms:created>
  <dc:creator>sdk007</dc:creator>
  <cp:lastModifiedBy>Ymin</cp:lastModifiedBy>
  <cp:lastPrinted>2023-07-14T10:22:00Z</cp:lastPrinted>
  <dcterms:modified xsi:type="dcterms:W3CDTF">2024-07-09T08:54:30Z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E03F5BE9721943F3ACB1856D480ED050_13</vt:lpwstr>
  </property>
</Properties>
</file>