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980"/>
          <w:tab w:val="left" w:pos="6100"/>
        </w:tabs>
        <w:spacing w:line="239" w:lineRule="auto"/>
        <w:rPr>
          <w:b/>
          <w:bCs/>
          <w:sz w:val="23"/>
          <w:szCs w:val="23"/>
        </w:rPr>
      </w:pPr>
      <w:r>
        <w:rPr>
          <w:rFonts w:cs="宋体"/>
          <w:b/>
          <w:bCs/>
          <w:sz w:val="24"/>
          <w:lang w:val="zh-TW"/>
        </w:rPr>
        <w:t>证券代码：</w:t>
      </w:r>
      <w:r>
        <w:rPr>
          <w:b/>
          <w:bCs/>
          <w:sz w:val="24"/>
        </w:rPr>
        <w:t>002910</w:t>
      </w:r>
      <w:r>
        <w:rPr>
          <w:b/>
          <w:bCs/>
        </w:rPr>
        <w:tab/>
      </w:r>
      <w:r>
        <w:rPr>
          <w:rFonts w:hint="eastAsia"/>
          <w:b/>
          <w:bCs/>
        </w:rPr>
        <w:t xml:space="preserve"> </w:t>
      </w:r>
      <w:r>
        <w:rPr>
          <w:rFonts w:cs="宋体"/>
          <w:b/>
          <w:bCs/>
          <w:sz w:val="24"/>
          <w:lang w:val="zh-TW"/>
        </w:rPr>
        <w:t>证券简称：庄园牧场</w:t>
      </w:r>
      <w:r>
        <w:rPr>
          <w:b/>
          <w:bCs/>
        </w:rPr>
        <w:tab/>
      </w:r>
      <w:r>
        <w:rPr>
          <w:rFonts w:hint="eastAsia"/>
          <w:b/>
          <w:bCs/>
        </w:rPr>
        <w:t xml:space="preserve"> </w:t>
      </w:r>
      <w:r>
        <w:rPr>
          <w:rFonts w:cs="宋体"/>
          <w:b/>
          <w:bCs/>
          <w:sz w:val="23"/>
          <w:szCs w:val="23"/>
          <w:lang w:val="zh-TW"/>
        </w:rPr>
        <w:t>公告编号：</w:t>
      </w:r>
      <w:r>
        <w:rPr>
          <w:b/>
          <w:bCs/>
          <w:sz w:val="23"/>
          <w:szCs w:val="23"/>
        </w:rPr>
        <w:t>201</w:t>
      </w:r>
      <w:r>
        <w:rPr>
          <w:rFonts w:hint="eastAsia"/>
          <w:b/>
          <w:bCs/>
          <w:sz w:val="23"/>
          <w:szCs w:val="23"/>
        </w:rPr>
        <w:t>8</w:t>
      </w:r>
      <w:r>
        <w:rPr>
          <w:b/>
          <w:bCs/>
          <w:sz w:val="23"/>
          <w:szCs w:val="23"/>
        </w:rPr>
        <w:t>-0</w:t>
      </w:r>
      <w:r>
        <w:rPr>
          <w:rFonts w:hint="eastAsia"/>
          <w:b/>
          <w:bCs/>
          <w:sz w:val="23"/>
          <w:szCs w:val="23"/>
        </w:rPr>
        <w:t>10</w:t>
      </w:r>
    </w:p>
    <w:p>
      <w:pPr>
        <w:widowControl/>
        <w:adjustRightInd w:val="0"/>
        <w:snapToGrid w:val="0"/>
        <w:spacing w:line="360" w:lineRule="auto"/>
        <w:jc w:val="center"/>
        <w:rPr>
          <w:rFonts w:ascii="宋体" w:hAnsi="宋体" w:cs="宋体"/>
          <w:kern w:val="0"/>
          <w:szCs w:val="21"/>
        </w:rPr>
      </w:pPr>
    </w:p>
    <w:p>
      <w:pPr>
        <w:autoSpaceDE w:val="0"/>
        <w:autoSpaceDN w:val="0"/>
        <w:adjustRightInd w:val="0"/>
        <w:spacing w:line="360" w:lineRule="auto"/>
        <w:jc w:val="center"/>
        <w:rPr>
          <w:rFonts w:ascii="宋体" w:hAnsi="宋体"/>
          <w:b/>
          <w:sz w:val="36"/>
          <w:szCs w:val="36"/>
        </w:rPr>
      </w:pPr>
      <w:r>
        <w:rPr>
          <w:rFonts w:hint="eastAsia" w:ascii="宋体" w:hAnsi="宋体"/>
          <w:b/>
          <w:sz w:val="36"/>
          <w:szCs w:val="36"/>
        </w:rPr>
        <w:t>兰州庄园牧场股份有限公司</w:t>
      </w:r>
    </w:p>
    <w:p>
      <w:pPr>
        <w:autoSpaceDE w:val="0"/>
        <w:autoSpaceDN w:val="0"/>
        <w:adjustRightInd w:val="0"/>
        <w:spacing w:line="360" w:lineRule="auto"/>
        <w:jc w:val="center"/>
        <w:rPr>
          <w:rFonts w:ascii="宋体" w:hAnsi="宋体"/>
          <w:b/>
          <w:sz w:val="36"/>
          <w:szCs w:val="36"/>
        </w:rPr>
      </w:pPr>
      <w:r>
        <w:rPr>
          <w:rFonts w:hint="eastAsia" w:ascii="宋体" w:hAnsi="宋体"/>
          <w:b/>
          <w:sz w:val="36"/>
          <w:szCs w:val="36"/>
        </w:rPr>
        <w:t>2017年度业绩快报</w:t>
      </w:r>
    </w:p>
    <w:p>
      <w:pPr>
        <w:autoSpaceDE w:val="0"/>
        <w:autoSpaceDN w:val="0"/>
        <w:adjustRightInd w:val="0"/>
        <w:spacing w:line="360" w:lineRule="auto"/>
        <w:rPr>
          <w:rFonts w:ascii="宋体" w:hAnsi="宋体"/>
          <w:sz w:val="24"/>
        </w:rPr>
      </w:pP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8" w:hRule="atLeast"/>
          <w:jc w:val="center"/>
        </w:trPr>
        <w:tc>
          <w:tcPr>
            <w:tcW w:w="8522" w:type="dxa"/>
            <w:tcBorders>
              <w:top w:val="single" w:color="auto" w:sz="4" w:space="0"/>
              <w:left w:val="single" w:color="auto" w:sz="4" w:space="0"/>
              <w:bottom w:val="single" w:color="auto" w:sz="4" w:space="0"/>
              <w:right w:val="single" w:color="auto" w:sz="4" w:space="0"/>
            </w:tcBorders>
            <w:vAlign w:val="center"/>
          </w:tcPr>
          <w:p>
            <w:pPr>
              <w:spacing w:line="20" w:lineRule="atLeast"/>
              <w:ind w:left="480"/>
              <w:rPr>
                <w:sz w:val="24"/>
              </w:rPr>
            </w:pPr>
            <w:r>
              <w:rPr>
                <w:rFonts w:cs="宋体"/>
                <w:b/>
                <w:bCs/>
                <w:sz w:val="24"/>
                <w:lang w:val="zh-TW"/>
              </w:rPr>
              <w:t>本公司及董事会全体成员保证公告内容的真实、准确和完整，没有虚假记</w:t>
            </w:r>
          </w:p>
          <w:p>
            <w:pPr>
              <w:spacing w:line="20" w:lineRule="atLeast"/>
              <w:rPr>
                <w:rFonts w:ascii="宋体" w:hAnsi="宋体"/>
                <w:sz w:val="24"/>
              </w:rPr>
            </w:pPr>
            <w:r>
              <w:rPr>
                <w:rFonts w:cs="宋体"/>
                <w:b/>
                <w:bCs/>
                <w:sz w:val="24"/>
                <w:lang w:val="zh-TW"/>
              </w:rPr>
              <w:t>载、误导性陈述或重大遗漏。</w:t>
            </w:r>
          </w:p>
        </w:tc>
      </w:tr>
    </w:tbl>
    <w:p>
      <w:pPr>
        <w:autoSpaceDE w:val="0"/>
        <w:autoSpaceDN w:val="0"/>
        <w:adjustRightInd w:val="0"/>
        <w:rPr>
          <w:rFonts w:ascii="宋体" w:hAnsi="宋体"/>
          <w:sz w:val="24"/>
        </w:rPr>
      </w:pPr>
    </w:p>
    <w:p>
      <w:pPr>
        <w:autoSpaceDE w:val="0"/>
        <w:autoSpaceDN w:val="0"/>
        <w:adjustRightInd w:val="0"/>
        <w:spacing w:before="156" w:beforeLines="50" w:after="156" w:afterLines="50" w:line="360" w:lineRule="auto"/>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特别提示：本公告所载2017年度的财务数据仅为初步核算数据，已经公司内部审计部门审计，未经会计师事务所审计，与2017年年度报告中披露的最终数据可能存在差异，请投资者注意投资风险。</w:t>
      </w:r>
    </w:p>
    <w:p>
      <w:pPr>
        <w:autoSpaceDE w:val="0"/>
        <w:autoSpaceDN w:val="0"/>
        <w:adjustRightInd w:val="0"/>
        <w:spacing w:before="156" w:beforeLines="50" w:line="360" w:lineRule="auto"/>
        <w:ind w:firstLine="482" w:firstLineChars="200"/>
        <w:outlineLvl w:val="0"/>
        <w:rPr>
          <w:rFonts w:ascii="宋体" w:hAnsi="宋体" w:cs="宋体"/>
          <w:b/>
          <w:kern w:val="0"/>
          <w:sz w:val="24"/>
        </w:rPr>
      </w:pPr>
      <w:r>
        <w:rPr>
          <w:rFonts w:hint="eastAsia" w:ascii="宋体" w:hAnsi="宋体" w:cs="宋体"/>
          <w:b/>
          <w:kern w:val="0"/>
          <w:sz w:val="24"/>
        </w:rPr>
        <w:t>一、2017年度主要财务数据和指标</w:t>
      </w:r>
    </w:p>
    <w:p>
      <w:pPr>
        <w:snapToGrid w:val="0"/>
        <w:spacing w:before="156" w:beforeLines="50" w:after="156" w:afterLines="50" w:line="240" w:lineRule="auto"/>
        <w:ind w:firstLine="5863" w:firstLineChars="2792"/>
        <w:jc w:val="right"/>
        <w:rPr>
          <w:rFonts w:ascii="宋体" w:hAnsi="宋体" w:cs="宋体"/>
          <w:kern w:val="0"/>
          <w:szCs w:val="21"/>
        </w:rPr>
      </w:pPr>
      <w:r>
        <w:rPr>
          <w:rFonts w:hint="eastAsia" w:ascii="宋体" w:hAnsi="宋体" w:cs="宋体"/>
          <w:kern w:val="0"/>
          <w:szCs w:val="21"/>
        </w:rPr>
        <w:t>单位：元</w:t>
      </w:r>
    </w:p>
    <w:tbl>
      <w:tblPr>
        <w:tblStyle w:val="11"/>
        <w:tblW w:w="8400" w:type="dxa"/>
        <w:jc w:val="center"/>
        <w:tblInd w:w="-1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7"/>
        <w:gridCol w:w="2020"/>
        <w:gridCol w:w="2120"/>
        <w:gridCol w:w="1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7" w:type="dxa"/>
            <w:tcBorders>
              <w:top w:val="single" w:color="auto" w:sz="4" w:space="0"/>
              <w:left w:val="single" w:color="auto" w:sz="4" w:space="0"/>
              <w:bottom w:val="single" w:color="auto" w:sz="4" w:space="0"/>
              <w:right w:val="single" w:color="auto" w:sz="4" w:space="0"/>
            </w:tcBorders>
            <w:shd w:val="clear" w:color="auto" w:fill="E6E6E6"/>
            <w:vAlign w:val="center"/>
          </w:tcPr>
          <w:p>
            <w:pPr>
              <w:spacing w:after="0" w:line="240" w:lineRule="auto"/>
              <w:jc w:val="center"/>
              <w:rPr>
                <w:b/>
                <w:szCs w:val="21"/>
              </w:rPr>
            </w:pPr>
            <w:r>
              <w:rPr>
                <w:rFonts w:hAnsi="宋体"/>
                <w:b/>
                <w:szCs w:val="21"/>
              </w:rPr>
              <w:t>项目</w:t>
            </w:r>
          </w:p>
        </w:tc>
        <w:tc>
          <w:tcPr>
            <w:tcW w:w="2020" w:type="dxa"/>
            <w:tcBorders>
              <w:top w:val="single" w:color="auto" w:sz="4" w:space="0"/>
              <w:left w:val="single" w:color="auto" w:sz="4" w:space="0"/>
              <w:bottom w:val="single" w:color="auto" w:sz="4" w:space="0"/>
              <w:right w:val="single" w:color="auto" w:sz="4" w:space="0"/>
            </w:tcBorders>
            <w:shd w:val="clear" w:color="auto" w:fill="E6E6E6"/>
            <w:vAlign w:val="center"/>
          </w:tcPr>
          <w:p>
            <w:pPr>
              <w:spacing w:after="0" w:line="240" w:lineRule="auto"/>
              <w:jc w:val="center"/>
              <w:rPr>
                <w:b/>
                <w:szCs w:val="21"/>
              </w:rPr>
            </w:pPr>
            <w:r>
              <w:rPr>
                <w:rFonts w:hAnsi="宋体"/>
                <w:b/>
                <w:szCs w:val="21"/>
              </w:rPr>
              <w:t>本报告期</w:t>
            </w:r>
          </w:p>
        </w:tc>
        <w:tc>
          <w:tcPr>
            <w:tcW w:w="2120" w:type="dxa"/>
            <w:tcBorders>
              <w:top w:val="single" w:color="auto" w:sz="4" w:space="0"/>
              <w:left w:val="single" w:color="auto" w:sz="4" w:space="0"/>
              <w:bottom w:val="single" w:color="auto" w:sz="4" w:space="0"/>
              <w:right w:val="single" w:color="auto" w:sz="4" w:space="0"/>
            </w:tcBorders>
            <w:shd w:val="clear" w:color="auto" w:fill="E6E6E6"/>
            <w:vAlign w:val="center"/>
          </w:tcPr>
          <w:p>
            <w:pPr>
              <w:spacing w:after="0" w:line="240" w:lineRule="auto"/>
              <w:jc w:val="center"/>
              <w:rPr>
                <w:b/>
                <w:szCs w:val="21"/>
              </w:rPr>
            </w:pPr>
            <w:r>
              <w:rPr>
                <w:rFonts w:hAnsi="宋体"/>
                <w:b/>
                <w:szCs w:val="21"/>
              </w:rPr>
              <w:t>上年同期</w:t>
            </w:r>
          </w:p>
        </w:tc>
        <w:tc>
          <w:tcPr>
            <w:tcW w:w="1743" w:type="dxa"/>
            <w:tcBorders>
              <w:top w:val="single" w:color="auto" w:sz="4" w:space="0"/>
              <w:left w:val="single" w:color="auto" w:sz="4" w:space="0"/>
              <w:bottom w:val="single" w:color="auto" w:sz="4" w:space="0"/>
              <w:right w:val="single" w:color="auto" w:sz="4" w:space="0"/>
            </w:tcBorders>
            <w:shd w:val="clear" w:color="auto" w:fill="E6E6E6"/>
            <w:vAlign w:val="center"/>
          </w:tcPr>
          <w:p>
            <w:pPr>
              <w:spacing w:after="0" w:line="240" w:lineRule="auto"/>
              <w:jc w:val="center"/>
              <w:rPr>
                <w:b/>
                <w:szCs w:val="21"/>
              </w:rPr>
            </w:pPr>
            <w:r>
              <w:rPr>
                <w:rFonts w:hAnsi="宋体"/>
                <w:b/>
                <w:szCs w:val="21"/>
              </w:rPr>
              <w:t>增减变动幅度（％）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7" w:type="dxa"/>
            <w:tcBorders>
              <w:top w:val="single" w:color="auto" w:sz="4" w:space="0"/>
              <w:left w:val="single" w:color="auto" w:sz="4" w:space="0"/>
              <w:bottom w:val="single" w:color="auto" w:sz="4" w:space="0"/>
              <w:right w:val="single" w:color="auto" w:sz="4" w:space="0"/>
            </w:tcBorders>
            <w:shd w:val="clear" w:color="auto" w:fill="E6E6E6"/>
            <w:vAlign w:val="center"/>
          </w:tcPr>
          <w:p>
            <w:pPr>
              <w:spacing w:after="0" w:line="240" w:lineRule="auto"/>
              <w:jc w:val="center"/>
              <w:rPr>
                <w:szCs w:val="21"/>
              </w:rPr>
            </w:pPr>
            <w:r>
              <w:rPr>
                <w:rFonts w:hAnsi="宋体"/>
                <w:szCs w:val="21"/>
              </w:rPr>
              <w:t>营业总收入</w:t>
            </w:r>
          </w:p>
        </w:tc>
        <w:tc>
          <w:tcPr>
            <w:tcW w:w="20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628,374,037.21</w:t>
            </w:r>
          </w:p>
        </w:tc>
        <w:tc>
          <w:tcPr>
            <w:tcW w:w="21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665,823,164.22</w:t>
            </w:r>
          </w:p>
        </w:tc>
        <w:tc>
          <w:tcPr>
            <w:tcW w:w="174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7" w:type="dxa"/>
            <w:tcBorders>
              <w:top w:val="single" w:color="auto" w:sz="4" w:space="0"/>
              <w:left w:val="single" w:color="auto" w:sz="4" w:space="0"/>
              <w:bottom w:val="single" w:color="auto" w:sz="4" w:space="0"/>
              <w:right w:val="single" w:color="auto" w:sz="4" w:space="0"/>
            </w:tcBorders>
            <w:shd w:val="clear" w:color="auto" w:fill="E6E6E6"/>
            <w:vAlign w:val="center"/>
          </w:tcPr>
          <w:p>
            <w:pPr>
              <w:spacing w:after="0" w:line="240" w:lineRule="auto"/>
              <w:jc w:val="center"/>
              <w:rPr>
                <w:szCs w:val="21"/>
              </w:rPr>
            </w:pPr>
            <w:r>
              <w:rPr>
                <w:rFonts w:hAnsi="宋体"/>
                <w:szCs w:val="21"/>
              </w:rPr>
              <w:t>营业利润</w:t>
            </w:r>
          </w:p>
        </w:tc>
        <w:tc>
          <w:tcPr>
            <w:tcW w:w="2020"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bCs/>
                <w:kern w:val="0"/>
                <w:szCs w:val="21"/>
                <w:lang w:val="en-GB"/>
              </w:rPr>
            </w:pPr>
            <w:r>
              <w:rPr>
                <w:bCs/>
                <w:szCs w:val="21"/>
              </w:rPr>
              <w:t>70,794,346.57</w:t>
            </w:r>
          </w:p>
        </w:tc>
        <w:tc>
          <w:tcPr>
            <w:tcW w:w="21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72,673,888.31</w:t>
            </w:r>
          </w:p>
        </w:tc>
        <w:tc>
          <w:tcPr>
            <w:tcW w:w="174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7" w:type="dxa"/>
            <w:tcBorders>
              <w:top w:val="single" w:color="auto" w:sz="4" w:space="0"/>
              <w:left w:val="single" w:color="auto" w:sz="4" w:space="0"/>
              <w:bottom w:val="single" w:color="auto" w:sz="4" w:space="0"/>
              <w:right w:val="single" w:color="auto" w:sz="4" w:space="0"/>
            </w:tcBorders>
            <w:shd w:val="clear" w:color="auto" w:fill="E6E6E6"/>
            <w:vAlign w:val="center"/>
          </w:tcPr>
          <w:p>
            <w:pPr>
              <w:spacing w:after="0" w:line="240" w:lineRule="auto"/>
              <w:jc w:val="center"/>
              <w:rPr>
                <w:szCs w:val="21"/>
              </w:rPr>
            </w:pPr>
            <w:r>
              <w:rPr>
                <w:rFonts w:hAnsi="宋体"/>
                <w:szCs w:val="21"/>
              </w:rPr>
              <w:t>利润总额</w:t>
            </w:r>
          </w:p>
        </w:tc>
        <w:tc>
          <w:tcPr>
            <w:tcW w:w="20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71,055,888.66</w:t>
            </w:r>
          </w:p>
        </w:tc>
        <w:tc>
          <w:tcPr>
            <w:tcW w:w="21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89,143,914.77</w:t>
            </w:r>
          </w:p>
        </w:tc>
        <w:tc>
          <w:tcPr>
            <w:tcW w:w="174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-20.29%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7" w:type="dxa"/>
            <w:tcBorders>
              <w:top w:val="single" w:color="auto" w:sz="4" w:space="0"/>
              <w:left w:val="single" w:color="auto" w:sz="4" w:space="0"/>
              <w:bottom w:val="single" w:color="auto" w:sz="4" w:space="0"/>
              <w:right w:val="single" w:color="auto" w:sz="4" w:space="0"/>
            </w:tcBorders>
            <w:shd w:val="clear" w:color="auto" w:fill="E6E6E6"/>
            <w:vAlign w:val="center"/>
          </w:tcPr>
          <w:p>
            <w:pPr>
              <w:spacing w:after="0" w:line="240" w:lineRule="auto"/>
              <w:jc w:val="center"/>
              <w:rPr>
                <w:szCs w:val="21"/>
              </w:rPr>
            </w:pPr>
            <w:r>
              <w:rPr>
                <w:rFonts w:hAnsi="宋体"/>
                <w:szCs w:val="21"/>
              </w:rPr>
              <w:t>归属于上市公司股东的净利润</w:t>
            </w:r>
          </w:p>
        </w:tc>
        <w:tc>
          <w:tcPr>
            <w:tcW w:w="20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68,351,885.17</w:t>
            </w:r>
          </w:p>
        </w:tc>
        <w:tc>
          <w:tcPr>
            <w:tcW w:w="21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75,910,579.42</w:t>
            </w:r>
          </w:p>
        </w:tc>
        <w:tc>
          <w:tcPr>
            <w:tcW w:w="174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7" w:type="dxa"/>
            <w:tcBorders>
              <w:top w:val="single" w:color="auto" w:sz="4" w:space="0"/>
              <w:left w:val="single" w:color="auto" w:sz="4" w:space="0"/>
              <w:bottom w:val="single" w:color="auto" w:sz="4" w:space="0"/>
              <w:right w:val="single" w:color="auto" w:sz="4" w:space="0"/>
            </w:tcBorders>
            <w:shd w:val="clear" w:color="auto" w:fill="E6E6E6"/>
            <w:vAlign w:val="center"/>
          </w:tcPr>
          <w:p>
            <w:pPr>
              <w:spacing w:after="0" w:line="240" w:lineRule="auto"/>
              <w:jc w:val="center"/>
              <w:rPr>
                <w:szCs w:val="21"/>
              </w:rPr>
            </w:pPr>
            <w:r>
              <w:rPr>
                <w:rFonts w:hAnsi="宋体"/>
                <w:szCs w:val="21"/>
              </w:rPr>
              <w:t>基本每股收益（元）</w:t>
            </w:r>
          </w:p>
        </w:tc>
        <w:tc>
          <w:tcPr>
            <w:tcW w:w="20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0.46</w:t>
            </w:r>
          </w:p>
        </w:tc>
        <w:tc>
          <w:tcPr>
            <w:tcW w:w="21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0.54</w:t>
            </w:r>
          </w:p>
        </w:tc>
        <w:tc>
          <w:tcPr>
            <w:tcW w:w="174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-14.81%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7" w:type="dxa"/>
            <w:tcBorders>
              <w:top w:val="single" w:color="auto" w:sz="4" w:space="0"/>
              <w:left w:val="single" w:color="auto" w:sz="4" w:space="0"/>
              <w:bottom w:val="single" w:color="auto" w:sz="4" w:space="0"/>
              <w:right w:val="single" w:color="auto" w:sz="4" w:space="0"/>
            </w:tcBorders>
            <w:shd w:val="clear" w:color="auto" w:fill="E6E6E6"/>
            <w:vAlign w:val="center"/>
          </w:tcPr>
          <w:p>
            <w:pPr>
              <w:spacing w:after="0" w:line="240" w:lineRule="auto"/>
              <w:jc w:val="center"/>
              <w:rPr>
                <w:szCs w:val="21"/>
              </w:rPr>
            </w:pPr>
            <w:r>
              <w:rPr>
                <w:rFonts w:hAnsi="宋体"/>
                <w:szCs w:val="21"/>
              </w:rPr>
              <w:t>加权平均净资产收益率</w:t>
            </w:r>
          </w:p>
        </w:tc>
        <w:tc>
          <w:tcPr>
            <w:tcW w:w="20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8 %</w:t>
            </w:r>
          </w:p>
        </w:tc>
        <w:tc>
          <w:tcPr>
            <w:tcW w:w="21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11%</w:t>
            </w:r>
          </w:p>
        </w:tc>
        <w:tc>
          <w:tcPr>
            <w:tcW w:w="174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rFonts w:hint="eastAsia"/>
                <w:szCs w:val="21"/>
              </w:rPr>
              <w:t>-</w:t>
            </w:r>
            <w:r>
              <w:rPr>
                <w:rFonts w:hint="eastAsia"/>
                <w:szCs w:val="21"/>
                <w:lang w:val="en-US" w:eastAsia="zh-CN"/>
              </w:rPr>
              <w:t>3</w:t>
            </w:r>
            <w:bookmarkStart w:id="0" w:name="_GoBack"/>
            <w:bookmarkEnd w:id="0"/>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7" w:type="dxa"/>
            <w:tcBorders>
              <w:top w:val="single" w:color="auto" w:sz="4" w:space="0"/>
              <w:left w:val="single" w:color="auto" w:sz="4" w:space="0"/>
              <w:bottom w:val="single" w:color="auto" w:sz="4" w:space="0"/>
              <w:right w:val="single" w:color="auto" w:sz="4" w:space="0"/>
            </w:tcBorders>
            <w:shd w:val="clear" w:color="auto" w:fill="E6E6E6"/>
            <w:vAlign w:val="center"/>
          </w:tcPr>
          <w:p>
            <w:pPr>
              <w:spacing w:after="0" w:line="240" w:lineRule="auto"/>
              <w:jc w:val="center"/>
              <w:rPr>
                <w:b/>
                <w:szCs w:val="21"/>
              </w:rPr>
            </w:pPr>
            <w:r>
              <w:rPr>
                <w:rFonts w:hint="eastAsia"/>
                <w:b/>
                <w:szCs w:val="21"/>
              </w:rPr>
              <w:t>项目</w:t>
            </w:r>
          </w:p>
        </w:tc>
        <w:tc>
          <w:tcPr>
            <w:tcW w:w="2020" w:type="dxa"/>
            <w:tcBorders>
              <w:top w:val="single" w:color="auto" w:sz="4" w:space="0"/>
              <w:left w:val="single" w:color="auto" w:sz="4" w:space="0"/>
              <w:bottom w:val="single" w:color="auto" w:sz="4" w:space="0"/>
              <w:right w:val="single" w:color="auto" w:sz="4" w:space="0"/>
            </w:tcBorders>
            <w:shd w:val="clear" w:color="auto" w:fill="E6E6E6"/>
            <w:vAlign w:val="center"/>
          </w:tcPr>
          <w:p>
            <w:pPr>
              <w:spacing w:after="0" w:line="240" w:lineRule="auto"/>
              <w:jc w:val="center"/>
              <w:rPr>
                <w:b/>
                <w:szCs w:val="21"/>
              </w:rPr>
            </w:pPr>
            <w:r>
              <w:rPr>
                <w:rFonts w:hAnsi="宋体"/>
                <w:b/>
                <w:szCs w:val="21"/>
              </w:rPr>
              <w:t>本报告期末</w:t>
            </w:r>
          </w:p>
        </w:tc>
        <w:tc>
          <w:tcPr>
            <w:tcW w:w="2120" w:type="dxa"/>
            <w:tcBorders>
              <w:top w:val="single" w:color="auto" w:sz="4" w:space="0"/>
              <w:left w:val="single" w:color="auto" w:sz="4" w:space="0"/>
              <w:bottom w:val="single" w:color="auto" w:sz="4" w:space="0"/>
              <w:right w:val="single" w:color="auto" w:sz="4" w:space="0"/>
            </w:tcBorders>
            <w:shd w:val="clear" w:color="auto" w:fill="E6E6E6"/>
            <w:vAlign w:val="center"/>
          </w:tcPr>
          <w:p>
            <w:pPr>
              <w:spacing w:after="0" w:line="240" w:lineRule="auto"/>
              <w:jc w:val="center"/>
              <w:rPr>
                <w:b/>
                <w:szCs w:val="21"/>
              </w:rPr>
            </w:pPr>
            <w:r>
              <w:rPr>
                <w:rFonts w:hAnsi="宋体"/>
                <w:b/>
                <w:szCs w:val="21"/>
              </w:rPr>
              <w:t>本报告期初</w:t>
            </w:r>
          </w:p>
        </w:tc>
        <w:tc>
          <w:tcPr>
            <w:tcW w:w="1743" w:type="dxa"/>
            <w:tcBorders>
              <w:top w:val="single" w:color="auto" w:sz="4" w:space="0"/>
              <w:left w:val="single" w:color="auto" w:sz="4" w:space="0"/>
              <w:bottom w:val="single" w:color="auto" w:sz="4" w:space="0"/>
              <w:right w:val="single" w:color="auto" w:sz="4" w:space="0"/>
            </w:tcBorders>
            <w:shd w:val="clear" w:color="auto" w:fill="E6E6E6"/>
            <w:vAlign w:val="center"/>
          </w:tcPr>
          <w:p>
            <w:pPr>
              <w:spacing w:after="0" w:line="240" w:lineRule="auto"/>
              <w:jc w:val="center"/>
              <w:rPr>
                <w:b/>
                <w:szCs w:val="21"/>
              </w:rPr>
            </w:pPr>
            <w:r>
              <w:rPr>
                <w:rFonts w:hAnsi="宋体"/>
                <w:b/>
                <w:szCs w:val="21"/>
              </w:rPr>
              <w:t>增减变动幅度（％）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7" w:type="dxa"/>
            <w:tcBorders>
              <w:top w:val="single" w:color="auto" w:sz="4" w:space="0"/>
              <w:left w:val="single" w:color="auto" w:sz="4" w:space="0"/>
              <w:bottom w:val="single" w:color="auto" w:sz="4" w:space="0"/>
              <w:right w:val="single" w:color="auto" w:sz="4" w:space="0"/>
            </w:tcBorders>
            <w:shd w:val="clear" w:color="auto" w:fill="E6E6E6"/>
            <w:vAlign w:val="center"/>
          </w:tcPr>
          <w:p>
            <w:pPr>
              <w:spacing w:after="0" w:line="240" w:lineRule="auto"/>
              <w:jc w:val="center"/>
              <w:rPr>
                <w:szCs w:val="21"/>
              </w:rPr>
            </w:pPr>
            <w:r>
              <w:rPr>
                <w:rFonts w:hAnsi="宋体"/>
                <w:szCs w:val="21"/>
              </w:rPr>
              <w:t>总资产</w:t>
            </w:r>
          </w:p>
        </w:tc>
        <w:tc>
          <w:tcPr>
            <w:tcW w:w="20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1,803,717,700.56</w:t>
            </w:r>
          </w:p>
        </w:tc>
        <w:tc>
          <w:tcPr>
            <w:tcW w:w="2120"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bCs/>
                <w:color w:val="000000"/>
                <w:kern w:val="0"/>
                <w:szCs w:val="21"/>
                <w:lang w:val="en-GB"/>
              </w:rPr>
            </w:pPr>
            <w:r>
              <w:rPr>
                <w:bCs/>
                <w:color w:val="000000"/>
                <w:szCs w:val="21"/>
              </w:rPr>
              <w:t>1,341,587,892.93</w:t>
            </w:r>
          </w:p>
        </w:tc>
        <w:tc>
          <w:tcPr>
            <w:tcW w:w="174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34.45%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7" w:type="dxa"/>
            <w:tcBorders>
              <w:top w:val="single" w:color="auto" w:sz="4" w:space="0"/>
              <w:left w:val="single" w:color="auto" w:sz="4" w:space="0"/>
              <w:bottom w:val="single" w:color="auto" w:sz="4" w:space="0"/>
              <w:right w:val="single" w:color="auto" w:sz="4" w:space="0"/>
            </w:tcBorders>
            <w:shd w:val="clear" w:color="auto" w:fill="E6E6E6"/>
            <w:vAlign w:val="center"/>
          </w:tcPr>
          <w:p>
            <w:pPr>
              <w:spacing w:after="0" w:line="240" w:lineRule="auto"/>
              <w:jc w:val="center"/>
              <w:rPr>
                <w:szCs w:val="21"/>
              </w:rPr>
            </w:pPr>
            <w:r>
              <w:rPr>
                <w:rFonts w:hAnsi="宋体"/>
                <w:szCs w:val="21"/>
              </w:rPr>
              <w:t>归属于上市公司股东的所有者权益</w:t>
            </w:r>
          </w:p>
        </w:tc>
        <w:tc>
          <w:tcPr>
            <w:tcW w:w="20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1,127,665,194.69</w:t>
            </w:r>
          </w:p>
        </w:tc>
        <w:tc>
          <w:tcPr>
            <w:tcW w:w="21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760,234,709.55</w:t>
            </w:r>
          </w:p>
        </w:tc>
        <w:tc>
          <w:tcPr>
            <w:tcW w:w="174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48.33%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7" w:type="dxa"/>
            <w:tcBorders>
              <w:top w:val="single" w:color="auto" w:sz="4" w:space="0"/>
              <w:left w:val="single" w:color="auto" w:sz="4" w:space="0"/>
              <w:bottom w:val="single" w:color="auto" w:sz="4" w:space="0"/>
              <w:right w:val="single" w:color="auto" w:sz="4" w:space="0"/>
            </w:tcBorders>
            <w:shd w:val="clear" w:color="auto" w:fill="E6E6E6"/>
            <w:vAlign w:val="center"/>
          </w:tcPr>
          <w:p>
            <w:pPr>
              <w:spacing w:after="0" w:line="240" w:lineRule="auto"/>
              <w:jc w:val="center"/>
              <w:rPr>
                <w:szCs w:val="21"/>
              </w:rPr>
            </w:pPr>
            <w:r>
              <w:rPr>
                <w:rFonts w:hAnsi="宋体"/>
                <w:szCs w:val="21"/>
              </w:rPr>
              <w:t>股本</w:t>
            </w:r>
          </w:p>
        </w:tc>
        <w:tc>
          <w:tcPr>
            <w:tcW w:w="20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187,340,000.00</w:t>
            </w:r>
          </w:p>
        </w:tc>
        <w:tc>
          <w:tcPr>
            <w:tcW w:w="21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140,500,000.00</w:t>
            </w:r>
          </w:p>
        </w:tc>
        <w:tc>
          <w:tcPr>
            <w:tcW w:w="174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33.34%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7" w:type="dxa"/>
            <w:tcBorders>
              <w:top w:val="single" w:color="auto" w:sz="4" w:space="0"/>
              <w:left w:val="single" w:color="auto" w:sz="4" w:space="0"/>
              <w:bottom w:val="single" w:color="auto" w:sz="4" w:space="0"/>
              <w:right w:val="single" w:color="auto" w:sz="4" w:space="0"/>
            </w:tcBorders>
            <w:shd w:val="clear" w:color="auto" w:fill="E6E6E6"/>
            <w:vAlign w:val="center"/>
          </w:tcPr>
          <w:p>
            <w:pPr>
              <w:spacing w:after="0" w:line="240" w:lineRule="auto"/>
              <w:jc w:val="center"/>
              <w:rPr>
                <w:szCs w:val="21"/>
              </w:rPr>
            </w:pPr>
            <w:r>
              <w:rPr>
                <w:rFonts w:hAnsi="宋体"/>
                <w:szCs w:val="21"/>
              </w:rPr>
              <w:t>归属于上市公司股东的每股净资产（元）</w:t>
            </w:r>
          </w:p>
        </w:tc>
        <w:tc>
          <w:tcPr>
            <w:tcW w:w="20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6.02</w:t>
            </w:r>
          </w:p>
        </w:tc>
        <w:tc>
          <w:tcPr>
            <w:tcW w:w="21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5.41</w:t>
            </w:r>
          </w:p>
        </w:tc>
        <w:tc>
          <w:tcPr>
            <w:tcW w:w="174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zCs w:val="21"/>
              </w:rPr>
            </w:pPr>
            <w:r>
              <w:rPr>
                <w:szCs w:val="21"/>
              </w:rPr>
              <w:t>11.28%</w:t>
            </w:r>
          </w:p>
        </w:tc>
      </w:tr>
    </w:tbl>
    <w:p>
      <w:pPr>
        <w:spacing w:before="156" w:beforeLines="50" w:line="360" w:lineRule="auto"/>
        <w:ind w:firstLine="420" w:firstLineChars="200"/>
        <w:rPr>
          <w:rFonts w:ascii="宋体" w:hAnsi="宋体" w:cs="宋体"/>
          <w:kern w:val="0"/>
          <w:szCs w:val="21"/>
        </w:rPr>
      </w:pPr>
      <w:r>
        <w:rPr>
          <w:rFonts w:hint="eastAsia" w:ascii="宋体" w:hAnsi="宋体" w:cs="宋体"/>
          <w:kern w:val="0"/>
          <w:szCs w:val="21"/>
        </w:rPr>
        <w:t>注：1、上述数据是以公司合并报表数据填列。</w:t>
      </w:r>
    </w:p>
    <w:p>
      <w:pPr>
        <w:tabs>
          <w:tab w:val="left" w:pos="851"/>
        </w:tabs>
        <w:spacing w:before="156" w:beforeLines="50" w:line="360" w:lineRule="auto"/>
        <w:ind w:firstLine="420" w:firstLineChars="200"/>
        <w:rPr>
          <w:rFonts w:ascii="宋体" w:hAnsi="宋体" w:cs="宋体"/>
          <w:kern w:val="0"/>
          <w:szCs w:val="21"/>
        </w:rPr>
      </w:pPr>
      <w:r>
        <w:rPr>
          <w:rFonts w:hint="eastAsia" w:ascii="宋体" w:hAnsi="宋体" w:cs="宋体"/>
          <w:kern w:val="0"/>
          <w:szCs w:val="21"/>
        </w:rPr>
        <w:t xml:space="preserve">    2、2016年度营业利润由72,832,504.85调整为72,673,888.31，主要原因为：公司根据财会[2017]30号规定的财务报表格式编制2017年度财务报表，并采用追溯法对比较财务报表的列报进行调整，对2016年度营业外收支进行了重分类，不影响利润总额。</w:t>
      </w:r>
    </w:p>
    <w:p>
      <w:pPr>
        <w:autoSpaceDE w:val="0"/>
        <w:autoSpaceDN w:val="0"/>
        <w:adjustRightInd w:val="0"/>
        <w:spacing w:before="156" w:beforeLines="50" w:line="360" w:lineRule="auto"/>
        <w:ind w:firstLine="482" w:firstLineChars="200"/>
        <w:outlineLvl w:val="0"/>
        <w:rPr>
          <w:rFonts w:ascii="宋体" w:hAnsi="宋体" w:cs="宋体"/>
          <w:b/>
          <w:kern w:val="0"/>
          <w:sz w:val="24"/>
        </w:rPr>
      </w:pPr>
      <w:r>
        <w:rPr>
          <w:rFonts w:hint="eastAsia" w:ascii="宋体" w:hAnsi="宋体" w:cs="宋体"/>
          <w:b/>
          <w:kern w:val="0"/>
          <w:sz w:val="24"/>
        </w:rPr>
        <w:t>二、经营业绩和财务状况情况说明</w:t>
      </w:r>
    </w:p>
    <w:p>
      <w:pPr>
        <w:autoSpaceDE w:val="0"/>
        <w:autoSpaceDN w:val="0"/>
        <w:adjustRightInd w:val="0"/>
        <w:spacing w:before="156" w:beforeLines="50" w:after="156" w:afterLines="50" w:line="360" w:lineRule="auto"/>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1.报告期的经营情况、财务状况及影响经营业绩的主要因素</w:t>
      </w:r>
    </w:p>
    <w:p>
      <w:pPr>
        <w:pStyle w:val="16"/>
        <w:spacing w:before="156" w:beforeLines="50" w:after="156" w:afterLines="50" w:line="360" w:lineRule="auto"/>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报告期内公司实现营业收入</w:t>
      </w:r>
      <w:r>
        <w:rPr>
          <w:rFonts w:asciiTheme="minorEastAsia" w:hAnsiTheme="minorEastAsia" w:eastAsiaTheme="minorEastAsia" w:cstheme="minorEastAsia"/>
        </w:rPr>
        <w:t>62</w:t>
      </w:r>
      <w:r>
        <w:rPr>
          <w:rFonts w:hint="eastAsia" w:asciiTheme="minorEastAsia" w:hAnsiTheme="minorEastAsia" w:eastAsiaTheme="minorEastAsia" w:cstheme="minorEastAsia"/>
        </w:rPr>
        <w:t>,</w:t>
      </w:r>
      <w:r>
        <w:rPr>
          <w:rFonts w:asciiTheme="minorEastAsia" w:hAnsiTheme="minorEastAsia" w:eastAsiaTheme="minorEastAsia" w:cstheme="minorEastAsia"/>
        </w:rPr>
        <w:t>837.40</w:t>
      </w:r>
      <w:r>
        <w:rPr>
          <w:rFonts w:hint="eastAsia" w:asciiTheme="minorEastAsia" w:hAnsiTheme="minorEastAsia" w:eastAsiaTheme="minorEastAsia" w:cstheme="minorEastAsia"/>
        </w:rPr>
        <w:t>万元，较上年同期下降</w:t>
      </w:r>
      <w:r>
        <w:rPr>
          <w:rFonts w:asciiTheme="minorEastAsia" w:hAnsiTheme="minorEastAsia" w:eastAsiaTheme="minorEastAsia" w:cstheme="minorEastAsia"/>
        </w:rPr>
        <w:t>5.62</w:t>
      </w:r>
      <w:r>
        <w:rPr>
          <w:rFonts w:hint="eastAsia" w:asciiTheme="minorEastAsia" w:hAnsiTheme="minorEastAsia" w:eastAsiaTheme="minorEastAsia" w:cstheme="minorEastAsia"/>
        </w:rPr>
        <w:t>%；营业利润为</w:t>
      </w:r>
      <w:r>
        <w:rPr>
          <w:rFonts w:asciiTheme="minorEastAsia" w:hAnsiTheme="minorEastAsia" w:eastAsiaTheme="minorEastAsia" w:cstheme="minorEastAsia"/>
        </w:rPr>
        <w:t>7</w:t>
      </w:r>
      <w:r>
        <w:rPr>
          <w:rFonts w:hint="eastAsia" w:asciiTheme="minorEastAsia" w:hAnsiTheme="minorEastAsia" w:eastAsiaTheme="minorEastAsia" w:cstheme="minorEastAsia"/>
        </w:rPr>
        <w:t>,</w:t>
      </w:r>
      <w:r>
        <w:rPr>
          <w:rFonts w:asciiTheme="minorEastAsia" w:hAnsiTheme="minorEastAsia" w:eastAsiaTheme="minorEastAsia" w:cstheme="minorEastAsia"/>
        </w:rPr>
        <w:t>079.43</w:t>
      </w:r>
      <w:r>
        <w:rPr>
          <w:rFonts w:hint="eastAsia" w:asciiTheme="minorEastAsia" w:hAnsiTheme="minorEastAsia" w:eastAsiaTheme="minorEastAsia" w:cstheme="minorEastAsia"/>
        </w:rPr>
        <w:t>万元，较上年同期下降</w:t>
      </w:r>
      <w:r>
        <w:rPr>
          <w:rFonts w:asciiTheme="minorEastAsia" w:hAnsiTheme="minorEastAsia" w:eastAsiaTheme="minorEastAsia" w:cstheme="minorEastAsia"/>
        </w:rPr>
        <w:t>2.59</w:t>
      </w:r>
      <w:r>
        <w:rPr>
          <w:rFonts w:hint="eastAsia" w:asciiTheme="minorEastAsia" w:hAnsiTheme="minorEastAsia" w:eastAsiaTheme="minorEastAsia" w:cstheme="minorEastAsia"/>
        </w:rPr>
        <w:t>%；归属于上市公司股东的净利润为</w:t>
      </w:r>
      <w:r>
        <w:rPr>
          <w:rFonts w:asciiTheme="minorEastAsia" w:hAnsiTheme="minorEastAsia" w:eastAsiaTheme="minorEastAsia" w:cstheme="minorEastAsia"/>
        </w:rPr>
        <w:t>6</w:t>
      </w:r>
      <w:r>
        <w:rPr>
          <w:rFonts w:hint="eastAsia" w:asciiTheme="minorEastAsia" w:hAnsiTheme="minorEastAsia" w:eastAsiaTheme="minorEastAsia" w:cstheme="minorEastAsia"/>
        </w:rPr>
        <w:t>,</w:t>
      </w:r>
      <w:r>
        <w:rPr>
          <w:rFonts w:asciiTheme="minorEastAsia" w:hAnsiTheme="minorEastAsia" w:eastAsiaTheme="minorEastAsia" w:cstheme="minorEastAsia"/>
        </w:rPr>
        <w:t>835.1</w:t>
      </w:r>
      <w:r>
        <w:rPr>
          <w:rFonts w:hint="eastAsia" w:asciiTheme="minorEastAsia" w:hAnsiTheme="minorEastAsia" w:eastAsiaTheme="minorEastAsia" w:cstheme="minorEastAsia"/>
        </w:rPr>
        <w:t>9万元，较上年同期下降</w:t>
      </w:r>
      <w:r>
        <w:rPr>
          <w:rFonts w:asciiTheme="minorEastAsia" w:hAnsiTheme="minorEastAsia" w:eastAsiaTheme="minorEastAsia" w:cstheme="minorEastAsia"/>
        </w:rPr>
        <w:t>9.96</w:t>
      </w:r>
      <w:r>
        <w:rPr>
          <w:rFonts w:hint="eastAsia" w:asciiTheme="minorEastAsia" w:hAnsiTheme="minorEastAsia" w:eastAsiaTheme="minorEastAsia" w:cstheme="minorEastAsia"/>
        </w:rPr>
        <w:t>%。</w:t>
      </w:r>
    </w:p>
    <w:p>
      <w:pPr>
        <w:autoSpaceDE w:val="0"/>
        <w:autoSpaceDN w:val="0"/>
        <w:adjustRightInd w:val="0"/>
        <w:spacing w:before="156" w:beforeLines="50" w:after="156" w:afterLines="50" w:line="360" w:lineRule="auto"/>
        <w:ind w:firstLine="480" w:firstLineChars="200"/>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2017年，乳制品行业经营环境未发生重大变化，</w:t>
      </w:r>
      <w:r>
        <w:rPr>
          <w:rFonts w:asciiTheme="minorEastAsia" w:hAnsiTheme="minorEastAsia" w:eastAsiaTheme="minorEastAsia" w:cstheme="minorEastAsia"/>
          <w:color w:val="000000"/>
          <w:kern w:val="0"/>
          <w:sz w:val="24"/>
          <w:szCs w:val="24"/>
        </w:rPr>
        <w:t>公司积极适应宏观经济新常态，顺应行业发展趋势</w:t>
      </w:r>
      <w:r>
        <w:rPr>
          <w:rFonts w:hint="eastAsia" w:asciiTheme="minorEastAsia" w:hAnsiTheme="minorEastAsia" w:eastAsiaTheme="minorEastAsia" w:cstheme="minorEastAsia"/>
          <w:color w:val="000000"/>
          <w:kern w:val="0"/>
          <w:sz w:val="24"/>
          <w:szCs w:val="24"/>
        </w:rPr>
        <w:t>。受产品区域市场竞争加剧和产品结构细分的差异化营销策略影响，公司2017年营业收入、营业利润和净利润等较2016年均呈现下降，但下降幅度均未超过10%。</w:t>
      </w:r>
    </w:p>
    <w:p>
      <w:pPr>
        <w:autoSpaceDE w:val="0"/>
        <w:autoSpaceDN w:val="0"/>
        <w:adjustRightInd w:val="0"/>
        <w:spacing w:before="156" w:beforeLines="50" w:after="156" w:afterLines="50" w:line="360" w:lineRule="auto"/>
        <w:ind w:firstLine="480" w:firstLineChars="200"/>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2.上表中有关项目增减变动幅度达30%以上的增减变动主要原因</w:t>
      </w:r>
    </w:p>
    <w:p>
      <w:pPr>
        <w:autoSpaceDE w:val="0"/>
        <w:autoSpaceDN w:val="0"/>
        <w:adjustRightInd w:val="0"/>
        <w:spacing w:before="156" w:beforeLines="50" w:after="156" w:afterLines="50" w:line="360" w:lineRule="auto"/>
        <w:ind w:firstLine="480" w:firstLineChars="200"/>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截止</w:t>
      </w:r>
      <w:r>
        <w:rPr>
          <w:rFonts w:asciiTheme="minorEastAsia" w:hAnsiTheme="minorEastAsia" w:eastAsiaTheme="minorEastAsia" w:cstheme="minorEastAsia"/>
          <w:color w:val="000000"/>
          <w:kern w:val="0"/>
          <w:sz w:val="24"/>
          <w:szCs w:val="24"/>
        </w:rPr>
        <w:t>2017</w:t>
      </w:r>
      <w:r>
        <w:rPr>
          <w:rFonts w:hint="eastAsia" w:asciiTheme="minorEastAsia" w:hAnsiTheme="minorEastAsia" w:eastAsiaTheme="minorEastAsia" w:cstheme="minorEastAsia"/>
          <w:color w:val="000000"/>
          <w:kern w:val="0"/>
          <w:sz w:val="24"/>
          <w:szCs w:val="24"/>
        </w:rPr>
        <w:t>年</w:t>
      </w:r>
      <w:r>
        <w:rPr>
          <w:rFonts w:asciiTheme="minorEastAsia" w:hAnsiTheme="minorEastAsia" w:eastAsiaTheme="minorEastAsia" w:cstheme="minorEastAsia"/>
          <w:color w:val="000000"/>
          <w:kern w:val="0"/>
          <w:sz w:val="24"/>
          <w:szCs w:val="24"/>
        </w:rPr>
        <w:t>12</w:t>
      </w:r>
      <w:r>
        <w:rPr>
          <w:rFonts w:hint="eastAsia" w:asciiTheme="minorEastAsia" w:hAnsiTheme="minorEastAsia" w:eastAsiaTheme="minorEastAsia" w:cstheme="minorEastAsia"/>
          <w:color w:val="000000"/>
          <w:kern w:val="0"/>
          <w:sz w:val="24"/>
          <w:szCs w:val="24"/>
        </w:rPr>
        <w:t>月</w:t>
      </w:r>
      <w:r>
        <w:rPr>
          <w:rFonts w:asciiTheme="minorEastAsia" w:hAnsiTheme="minorEastAsia" w:eastAsiaTheme="minorEastAsia" w:cstheme="minorEastAsia"/>
          <w:color w:val="000000"/>
          <w:kern w:val="0"/>
          <w:sz w:val="24"/>
          <w:szCs w:val="24"/>
        </w:rPr>
        <w:t>31</w:t>
      </w:r>
      <w:r>
        <w:rPr>
          <w:rFonts w:hint="eastAsia" w:asciiTheme="minorEastAsia" w:hAnsiTheme="minorEastAsia" w:eastAsiaTheme="minorEastAsia" w:cstheme="minorEastAsia"/>
          <w:color w:val="000000"/>
          <w:kern w:val="0"/>
          <w:sz w:val="24"/>
          <w:szCs w:val="24"/>
        </w:rPr>
        <w:t>日，公司总资产</w:t>
      </w:r>
      <w:r>
        <w:rPr>
          <w:rFonts w:asciiTheme="minorEastAsia" w:hAnsiTheme="minorEastAsia" w:eastAsiaTheme="minorEastAsia" w:cstheme="minorEastAsia"/>
          <w:bCs/>
          <w:color w:val="000000"/>
          <w:kern w:val="0"/>
          <w:sz w:val="24"/>
          <w:szCs w:val="24"/>
        </w:rPr>
        <w:t>180</w:t>
      </w:r>
      <w:r>
        <w:rPr>
          <w:rFonts w:hint="eastAsia" w:asciiTheme="minorEastAsia" w:hAnsiTheme="minorEastAsia" w:eastAsiaTheme="minorEastAsia" w:cstheme="minorEastAsia"/>
          <w:bCs/>
          <w:color w:val="000000"/>
          <w:kern w:val="0"/>
          <w:sz w:val="24"/>
          <w:szCs w:val="24"/>
        </w:rPr>
        <w:t>,</w:t>
      </w:r>
      <w:r>
        <w:rPr>
          <w:rFonts w:asciiTheme="minorEastAsia" w:hAnsiTheme="minorEastAsia" w:eastAsiaTheme="minorEastAsia" w:cstheme="minorEastAsia"/>
          <w:bCs/>
          <w:color w:val="000000"/>
          <w:kern w:val="0"/>
          <w:sz w:val="24"/>
          <w:szCs w:val="24"/>
        </w:rPr>
        <w:t>371.77</w:t>
      </w:r>
      <w:r>
        <w:rPr>
          <w:rFonts w:hint="eastAsia" w:asciiTheme="minorEastAsia" w:hAnsiTheme="minorEastAsia" w:eastAsiaTheme="minorEastAsia" w:cstheme="minorEastAsia"/>
          <w:bCs/>
          <w:color w:val="000000"/>
          <w:kern w:val="0"/>
          <w:sz w:val="24"/>
          <w:szCs w:val="24"/>
        </w:rPr>
        <w:t>万</w:t>
      </w:r>
      <w:r>
        <w:rPr>
          <w:rFonts w:hint="eastAsia" w:asciiTheme="minorEastAsia" w:hAnsiTheme="minorEastAsia" w:eastAsiaTheme="minorEastAsia" w:cstheme="minorEastAsia"/>
          <w:color w:val="000000"/>
          <w:kern w:val="0"/>
          <w:sz w:val="24"/>
          <w:szCs w:val="24"/>
        </w:rPr>
        <w:t>元，归属于上市公司股东的所有者权益</w:t>
      </w:r>
      <w:r>
        <w:rPr>
          <w:rFonts w:asciiTheme="minorEastAsia" w:hAnsiTheme="minorEastAsia" w:eastAsiaTheme="minorEastAsia" w:cstheme="minorEastAsia"/>
          <w:bCs/>
          <w:color w:val="000000"/>
          <w:kern w:val="0"/>
          <w:sz w:val="24"/>
          <w:szCs w:val="24"/>
        </w:rPr>
        <w:t>112</w:t>
      </w:r>
      <w:r>
        <w:rPr>
          <w:rFonts w:hint="eastAsia" w:asciiTheme="minorEastAsia" w:hAnsiTheme="minorEastAsia" w:eastAsiaTheme="minorEastAsia" w:cstheme="minorEastAsia"/>
          <w:bCs/>
          <w:color w:val="000000"/>
          <w:kern w:val="0"/>
          <w:sz w:val="24"/>
          <w:szCs w:val="24"/>
        </w:rPr>
        <w:t>,</w:t>
      </w:r>
      <w:r>
        <w:rPr>
          <w:rFonts w:asciiTheme="minorEastAsia" w:hAnsiTheme="minorEastAsia" w:eastAsiaTheme="minorEastAsia" w:cstheme="minorEastAsia"/>
          <w:bCs/>
          <w:color w:val="000000"/>
          <w:kern w:val="0"/>
          <w:sz w:val="24"/>
          <w:szCs w:val="24"/>
        </w:rPr>
        <w:t>766.5</w:t>
      </w:r>
      <w:r>
        <w:rPr>
          <w:rFonts w:hint="eastAsia" w:asciiTheme="minorEastAsia" w:hAnsiTheme="minorEastAsia" w:eastAsiaTheme="minorEastAsia" w:cstheme="minorEastAsia"/>
          <w:bCs/>
          <w:color w:val="000000"/>
          <w:kern w:val="0"/>
          <w:sz w:val="24"/>
          <w:szCs w:val="24"/>
        </w:rPr>
        <w:t>2万</w:t>
      </w:r>
      <w:r>
        <w:rPr>
          <w:rFonts w:hint="eastAsia" w:asciiTheme="minorEastAsia" w:hAnsiTheme="minorEastAsia" w:eastAsiaTheme="minorEastAsia" w:cstheme="minorEastAsia"/>
          <w:color w:val="000000"/>
          <w:kern w:val="0"/>
          <w:sz w:val="24"/>
          <w:szCs w:val="24"/>
        </w:rPr>
        <w:t>元，股本18,734万元，较期初分别增长</w:t>
      </w:r>
      <w:r>
        <w:rPr>
          <w:rFonts w:asciiTheme="minorEastAsia" w:hAnsiTheme="minorEastAsia" w:eastAsiaTheme="minorEastAsia" w:cstheme="minorEastAsia"/>
          <w:color w:val="000000"/>
          <w:kern w:val="0"/>
          <w:sz w:val="24"/>
          <w:szCs w:val="24"/>
        </w:rPr>
        <w:t>34.45%</w:t>
      </w:r>
      <w:r>
        <w:rPr>
          <w:rFonts w:hint="eastAsia" w:asciiTheme="minorEastAsia" w:hAnsiTheme="minorEastAsia" w:eastAsiaTheme="minorEastAsia" w:cstheme="minorEastAsia"/>
          <w:color w:val="000000"/>
          <w:kern w:val="0"/>
          <w:sz w:val="24"/>
          <w:szCs w:val="24"/>
        </w:rPr>
        <w:t>、</w:t>
      </w:r>
      <w:r>
        <w:rPr>
          <w:rFonts w:asciiTheme="minorEastAsia" w:hAnsiTheme="minorEastAsia" w:eastAsiaTheme="minorEastAsia" w:cstheme="minorEastAsia"/>
          <w:color w:val="000000"/>
          <w:kern w:val="0"/>
          <w:sz w:val="24"/>
          <w:szCs w:val="24"/>
        </w:rPr>
        <w:t>48.33%</w:t>
      </w:r>
      <w:r>
        <w:rPr>
          <w:rFonts w:hint="eastAsia" w:asciiTheme="minorEastAsia" w:hAnsiTheme="minorEastAsia" w:eastAsiaTheme="minorEastAsia" w:cstheme="minorEastAsia"/>
          <w:color w:val="000000"/>
          <w:kern w:val="0"/>
          <w:sz w:val="24"/>
          <w:szCs w:val="24"/>
        </w:rPr>
        <w:t>和</w:t>
      </w:r>
      <w:r>
        <w:rPr>
          <w:rFonts w:asciiTheme="minorEastAsia" w:hAnsiTheme="minorEastAsia" w:eastAsiaTheme="minorEastAsia" w:cstheme="minorEastAsia"/>
          <w:color w:val="000000"/>
          <w:kern w:val="0"/>
          <w:sz w:val="24"/>
          <w:szCs w:val="24"/>
        </w:rPr>
        <w:t>33.34%</w:t>
      </w:r>
      <w:r>
        <w:rPr>
          <w:rFonts w:hint="eastAsia" w:asciiTheme="minorEastAsia" w:hAnsiTheme="minorEastAsia" w:eastAsiaTheme="minorEastAsia" w:cstheme="minorEastAsia"/>
          <w:color w:val="000000"/>
          <w:kern w:val="0"/>
          <w:sz w:val="24"/>
          <w:szCs w:val="24"/>
        </w:rPr>
        <w:t>，主要原因为公司于2</w:t>
      </w:r>
      <w:r>
        <w:rPr>
          <w:rFonts w:asciiTheme="minorEastAsia" w:hAnsiTheme="minorEastAsia" w:eastAsiaTheme="minorEastAsia" w:cstheme="minorEastAsia"/>
          <w:color w:val="000000"/>
          <w:kern w:val="0"/>
          <w:sz w:val="24"/>
          <w:szCs w:val="24"/>
        </w:rPr>
        <w:t>017</w:t>
      </w:r>
      <w:r>
        <w:rPr>
          <w:rFonts w:hint="eastAsia" w:asciiTheme="minorEastAsia" w:hAnsiTheme="minorEastAsia" w:eastAsiaTheme="minorEastAsia" w:cstheme="minorEastAsia"/>
          <w:color w:val="000000"/>
          <w:kern w:val="0"/>
          <w:sz w:val="24"/>
          <w:szCs w:val="24"/>
        </w:rPr>
        <w:t>年10月首次公开发行A股股票4,684万股、收到募集资金和本年度取得经营成果所致。</w:t>
      </w:r>
    </w:p>
    <w:p>
      <w:pPr>
        <w:autoSpaceDE w:val="0"/>
        <w:autoSpaceDN w:val="0"/>
        <w:adjustRightInd w:val="0"/>
        <w:spacing w:before="156" w:beforeLines="50" w:line="360" w:lineRule="auto"/>
        <w:ind w:firstLine="482" w:firstLineChars="200"/>
        <w:outlineLvl w:val="0"/>
        <w:rPr>
          <w:rFonts w:ascii="宋体" w:hAnsi="宋体" w:cs="宋体"/>
          <w:b/>
          <w:kern w:val="0"/>
          <w:sz w:val="24"/>
        </w:rPr>
      </w:pPr>
      <w:r>
        <w:rPr>
          <w:rFonts w:hint="eastAsia" w:ascii="宋体" w:hAnsi="宋体" w:cs="宋体"/>
          <w:b/>
          <w:kern w:val="0"/>
          <w:sz w:val="24"/>
        </w:rPr>
        <w:t>三、与前次业绩预计的差异说明</w:t>
      </w:r>
    </w:p>
    <w:p>
      <w:pPr>
        <w:autoSpaceDE w:val="0"/>
        <w:autoSpaceDN w:val="0"/>
        <w:adjustRightInd w:val="0"/>
        <w:spacing w:before="156" w:beforeLines="50" w:after="156" w:afterLines="50" w:line="360" w:lineRule="auto"/>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公司分别于2017年10月17日、2017年10月30日在巨潮资讯网（http://www.cninfo.com.cn）披露的《首次公开发行A股股票招股说明书》、《首次公开发行A股股票上市公告书》中对公司2017年度预计的经营业绩为：公司2017年1-12月营业收入6.4亿元—6.5亿元，同比下降幅度在2.40%—3.90%之间；净利润7000万元—7300万元, 同比下降幅度在3.83%—7.79%之间；归属于母公司股东的净利润 7000万元—7300万元，扣除非经常性损益后归属于母公司股东的净利润5500—5800万元，同比下降幅度在4.78%—9.71%之间。</w:t>
      </w:r>
    </w:p>
    <w:p>
      <w:pPr>
        <w:autoSpaceDE w:val="0"/>
        <w:autoSpaceDN w:val="0"/>
        <w:adjustRightInd w:val="0"/>
        <w:spacing w:before="156" w:beforeLines="50" w:after="156" w:afterLines="50" w:line="360" w:lineRule="auto"/>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本次业绩快报披露的经营业绩和前述业绩预计说明存在差异，情况如下：</w:t>
      </w:r>
    </w:p>
    <w:p>
      <w:pPr>
        <w:autoSpaceDE w:val="0"/>
        <w:autoSpaceDN w:val="0"/>
        <w:adjustRightInd w:val="0"/>
        <w:spacing w:before="156" w:beforeLines="50" w:after="156" w:afterLines="50" w:line="360" w:lineRule="auto"/>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2017年1-12月，公司实现营业收入6.28亿元，较上年同期下降</w:t>
      </w:r>
      <w:r>
        <w:rPr>
          <w:rFonts w:asciiTheme="minorEastAsia" w:hAnsiTheme="minorEastAsia" w:eastAsiaTheme="minorEastAsia" w:cstheme="minorEastAsia"/>
          <w:kern w:val="0"/>
          <w:sz w:val="24"/>
        </w:rPr>
        <w:t>5.62</w:t>
      </w:r>
      <w:r>
        <w:rPr>
          <w:rFonts w:hint="eastAsia" w:asciiTheme="minorEastAsia" w:hAnsiTheme="minorEastAsia" w:eastAsiaTheme="minorEastAsia" w:cstheme="minorEastAsia"/>
          <w:kern w:val="0"/>
          <w:sz w:val="24"/>
        </w:rPr>
        <w:t>%；归属于上市公司股东的净利润为</w:t>
      </w:r>
      <w:r>
        <w:rPr>
          <w:rFonts w:asciiTheme="minorEastAsia" w:hAnsiTheme="minorEastAsia" w:eastAsiaTheme="minorEastAsia" w:cstheme="minorEastAsia"/>
          <w:kern w:val="0"/>
          <w:sz w:val="24"/>
        </w:rPr>
        <w:t>6</w:t>
      </w:r>
      <w:r>
        <w:rPr>
          <w:rFonts w:hint="eastAsia" w:asciiTheme="minorEastAsia" w:hAnsiTheme="minorEastAsia" w:eastAsiaTheme="minorEastAsia" w:cstheme="minorEastAsia"/>
          <w:kern w:val="0"/>
          <w:sz w:val="24"/>
        </w:rPr>
        <w:t>,</w:t>
      </w:r>
      <w:r>
        <w:rPr>
          <w:rFonts w:asciiTheme="minorEastAsia" w:hAnsiTheme="minorEastAsia" w:eastAsiaTheme="minorEastAsia" w:cstheme="minorEastAsia"/>
          <w:kern w:val="0"/>
          <w:sz w:val="24"/>
        </w:rPr>
        <w:t>835.1</w:t>
      </w:r>
      <w:r>
        <w:rPr>
          <w:rFonts w:hint="eastAsia" w:asciiTheme="minorEastAsia" w:hAnsiTheme="minorEastAsia" w:eastAsiaTheme="minorEastAsia" w:cstheme="minorEastAsia"/>
          <w:kern w:val="0"/>
          <w:sz w:val="24"/>
        </w:rPr>
        <w:t>9万元，较上年同期下降</w:t>
      </w:r>
      <w:r>
        <w:rPr>
          <w:rFonts w:asciiTheme="minorEastAsia" w:hAnsiTheme="minorEastAsia" w:eastAsiaTheme="minorEastAsia" w:cstheme="minorEastAsia"/>
          <w:kern w:val="0"/>
          <w:sz w:val="24"/>
        </w:rPr>
        <w:t>9.96%</w:t>
      </w:r>
      <w:r>
        <w:rPr>
          <w:rFonts w:hint="eastAsia" w:asciiTheme="minorEastAsia" w:hAnsiTheme="minorEastAsia" w:eastAsiaTheme="minorEastAsia" w:cstheme="minorEastAsia"/>
          <w:kern w:val="0"/>
          <w:sz w:val="24"/>
        </w:rPr>
        <w:t>；扣除非经常性损益后归属于母公司股东的净利润为5,068.88万元，较上年同期下降16.79%，主要原因为：</w:t>
      </w:r>
    </w:p>
    <w:p>
      <w:pPr>
        <w:autoSpaceDE w:val="0"/>
        <w:autoSpaceDN w:val="0"/>
        <w:adjustRightInd w:val="0"/>
        <w:spacing w:before="156" w:beforeLines="50" w:after="156" w:afterLines="50" w:line="360" w:lineRule="auto"/>
        <w:ind w:firstLine="480" w:firstLineChars="200"/>
        <w:rPr>
          <w:rFonts w:ascii="宋体" w:hAnsi="宋体" w:cs="宋体"/>
          <w:kern w:val="0"/>
          <w:sz w:val="24"/>
        </w:rPr>
      </w:pPr>
      <w:r>
        <w:rPr>
          <w:rFonts w:hint="eastAsia" w:asciiTheme="minorEastAsia" w:hAnsiTheme="minorEastAsia" w:eastAsiaTheme="minorEastAsia" w:cstheme="minorEastAsia"/>
          <w:kern w:val="0"/>
          <w:sz w:val="24"/>
        </w:rPr>
        <w:t>一是随着产品区域市场竞争的加剧，公司产品销售数量和收入受到一定的影响；二是为顺应行业趋势，公司进行产品结构调整，毛利率较低的灭菌乳销量较上年增加；三是综合成本的上升使得公司产品平均成本较上年有所增加；四是电商渠道建设和新产品推广使得销售费用增加，2017年销售费用合计7,155.62万元，较上年同期增长34.76%。</w:t>
      </w:r>
    </w:p>
    <w:p>
      <w:pPr>
        <w:autoSpaceDE w:val="0"/>
        <w:autoSpaceDN w:val="0"/>
        <w:adjustRightInd w:val="0"/>
        <w:spacing w:before="156" w:beforeLines="50" w:line="360" w:lineRule="auto"/>
        <w:ind w:firstLine="482" w:firstLineChars="200"/>
        <w:outlineLvl w:val="0"/>
        <w:rPr>
          <w:rFonts w:ascii="宋体" w:hAnsi="宋体" w:cs="宋体"/>
          <w:b/>
          <w:kern w:val="0"/>
          <w:sz w:val="24"/>
        </w:rPr>
      </w:pPr>
      <w:r>
        <w:rPr>
          <w:rFonts w:hint="eastAsia" w:ascii="宋体" w:hAnsi="宋体" w:cs="宋体"/>
          <w:b/>
          <w:kern w:val="0"/>
          <w:sz w:val="24"/>
        </w:rPr>
        <w:t>四、备查文件</w:t>
      </w:r>
    </w:p>
    <w:p>
      <w:pPr>
        <w:autoSpaceDE w:val="0"/>
        <w:autoSpaceDN w:val="0"/>
        <w:adjustRightInd w:val="0"/>
        <w:spacing w:before="156" w:beforeLines="50" w:after="156" w:afterLines="50" w:line="360" w:lineRule="auto"/>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1.经公司现任法定代表人马红富先生、主管会计工作的负责人王国福先生、会计机构负责人陈孟干先生签字并盖章的比较式资产负债表和利润表；</w:t>
      </w:r>
    </w:p>
    <w:p>
      <w:pPr>
        <w:autoSpaceDE w:val="0"/>
        <w:autoSpaceDN w:val="0"/>
        <w:adjustRightInd w:val="0"/>
        <w:spacing w:before="156" w:beforeLines="50" w:after="156" w:afterLines="50" w:line="360" w:lineRule="auto"/>
        <w:ind w:firstLine="480" w:firstLineChars="200"/>
        <w:rPr>
          <w:rFonts w:ascii="宋体" w:hAnsi="宋体" w:cs="宋体"/>
          <w:kern w:val="0"/>
          <w:sz w:val="24"/>
        </w:rPr>
      </w:pPr>
      <w:r>
        <w:rPr>
          <w:rFonts w:hint="eastAsia" w:asciiTheme="minorEastAsia" w:hAnsiTheme="minorEastAsia" w:eastAsiaTheme="minorEastAsia" w:cstheme="minorEastAsia"/>
          <w:kern w:val="0"/>
          <w:sz w:val="24"/>
        </w:rPr>
        <w:t>2.内部审计部门负责人赵清华先生签字的内部审计报告。</w:t>
      </w:r>
    </w:p>
    <w:p>
      <w:pPr>
        <w:autoSpaceDE w:val="0"/>
        <w:autoSpaceDN w:val="0"/>
        <w:adjustRightInd w:val="0"/>
        <w:spacing w:line="360" w:lineRule="auto"/>
        <w:rPr>
          <w:rFonts w:ascii="宋体" w:hAnsi="宋体" w:cs="宋体"/>
          <w:kern w:val="0"/>
          <w:sz w:val="24"/>
        </w:rPr>
      </w:pPr>
    </w:p>
    <w:p>
      <w:pPr>
        <w:pStyle w:val="5"/>
        <w:spacing w:line="500" w:lineRule="exact"/>
        <w:ind w:firstLine="4080" w:firstLineChars="1700"/>
        <w:rPr>
          <w:rFonts w:ascii="宋体" w:hAnsi="宋体" w:cs="宋体"/>
          <w:kern w:val="0"/>
          <w:sz w:val="24"/>
        </w:rPr>
      </w:pPr>
    </w:p>
    <w:p>
      <w:pPr>
        <w:pStyle w:val="5"/>
        <w:spacing w:line="500" w:lineRule="exact"/>
        <w:ind w:firstLine="4080" w:firstLineChars="1700"/>
        <w:rPr>
          <w:rFonts w:ascii="宋体" w:hAnsi="宋体" w:cs="宋体"/>
          <w:kern w:val="0"/>
          <w:sz w:val="24"/>
          <w:szCs w:val="24"/>
        </w:rPr>
      </w:pPr>
      <w:r>
        <w:rPr>
          <w:rFonts w:hint="eastAsia" w:ascii="宋体" w:hAnsi="宋体" w:cs="宋体"/>
          <w:kern w:val="0"/>
          <w:sz w:val="24"/>
        </w:rPr>
        <w:t>兰州庄园牧场</w:t>
      </w:r>
      <w:r>
        <w:rPr>
          <w:rFonts w:hint="eastAsia" w:ascii="宋体" w:hAnsi="宋体" w:cs="宋体"/>
          <w:kern w:val="0"/>
          <w:sz w:val="24"/>
          <w:szCs w:val="24"/>
        </w:rPr>
        <w:t>股份有限公司董事会</w:t>
      </w:r>
    </w:p>
    <w:p>
      <w:pPr>
        <w:pStyle w:val="5"/>
        <w:spacing w:line="500" w:lineRule="exact"/>
        <w:ind w:firstLine="480" w:firstLineChars="200"/>
      </w:pPr>
      <w:r>
        <w:rPr>
          <w:rFonts w:hint="eastAsia" w:ascii="宋体" w:hAnsi="宋体"/>
          <w:kern w:val="0"/>
          <w:sz w:val="24"/>
          <w:szCs w:val="24"/>
        </w:rPr>
        <w:t xml:space="preserve">                                          2018年2月27日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C620F"/>
    <w:rsid w:val="0004449E"/>
    <w:rsid w:val="00047B31"/>
    <w:rsid w:val="000E504A"/>
    <w:rsid w:val="000F4A90"/>
    <w:rsid w:val="001052DD"/>
    <w:rsid w:val="00123A48"/>
    <w:rsid w:val="001B0ECA"/>
    <w:rsid w:val="001D3046"/>
    <w:rsid w:val="001E76AF"/>
    <w:rsid w:val="00290112"/>
    <w:rsid w:val="003352AA"/>
    <w:rsid w:val="003C4F8F"/>
    <w:rsid w:val="003E6EC0"/>
    <w:rsid w:val="004130FF"/>
    <w:rsid w:val="00416ADB"/>
    <w:rsid w:val="004274A0"/>
    <w:rsid w:val="0047772B"/>
    <w:rsid w:val="004C7768"/>
    <w:rsid w:val="004C778F"/>
    <w:rsid w:val="00500B6F"/>
    <w:rsid w:val="005658D2"/>
    <w:rsid w:val="005E0F94"/>
    <w:rsid w:val="00606CF6"/>
    <w:rsid w:val="0061520E"/>
    <w:rsid w:val="00646C7A"/>
    <w:rsid w:val="006C2D20"/>
    <w:rsid w:val="006E18C1"/>
    <w:rsid w:val="007343BD"/>
    <w:rsid w:val="00796230"/>
    <w:rsid w:val="00797FFE"/>
    <w:rsid w:val="007F7DE6"/>
    <w:rsid w:val="0084563F"/>
    <w:rsid w:val="00854333"/>
    <w:rsid w:val="0089243D"/>
    <w:rsid w:val="008C620F"/>
    <w:rsid w:val="0090188E"/>
    <w:rsid w:val="00902AE3"/>
    <w:rsid w:val="0091046D"/>
    <w:rsid w:val="009230FC"/>
    <w:rsid w:val="00954484"/>
    <w:rsid w:val="009F7C6E"/>
    <w:rsid w:val="00B22916"/>
    <w:rsid w:val="00B369A0"/>
    <w:rsid w:val="00BE437A"/>
    <w:rsid w:val="00C1057A"/>
    <w:rsid w:val="00C12F3C"/>
    <w:rsid w:val="00D52DD5"/>
    <w:rsid w:val="00D95952"/>
    <w:rsid w:val="00DC056A"/>
    <w:rsid w:val="00E2197D"/>
    <w:rsid w:val="00E4656D"/>
    <w:rsid w:val="00E61807"/>
    <w:rsid w:val="00EC6E9E"/>
    <w:rsid w:val="00F04FEC"/>
    <w:rsid w:val="00F30957"/>
    <w:rsid w:val="00F4519E"/>
    <w:rsid w:val="00F50FC5"/>
    <w:rsid w:val="00FC4B5E"/>
    <w:rsid w:val="01DB41FB"/>
    <w:rsid w:val="119327ED"/>
    <w:rsid w:val="17442A9B"/>
    <w:rsid w:val="1ED06C41"/>
    <w:rsid w:val="3F3148F1"/>
    <w:rsid w:val="403D6E9C"/>
    <w:rsid w:val="426B10B0"/>
    <w:rsid w:val="5DF85C61"/>
    <w:rsid w:val="602D37BA"/>
    <w:rsid w:val="62EB3A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imes New Roman" w:hAnsi="Times New Roman" w:eastAsia="宋体" w:cs="Times New Roman"/>
      <w:kern w:val="2"/>
      <w:sz w:val="21"/>
      <w:lang w:val="en-US" w:eastAsia="zh-CN" w:bidi="ar-SA"/>
    </w:rPr>
  </w:style>
  <w:style w:type="paragraph" w:styleId="2">
    <w:name w:val="heading 3"/>
    <w:basedOn w:val="1"/>
    <w:next w:val="1"/>
    <w:link w:val="14"/>
    <w:qFormat/>
    <w:uiPriority w:val="0"/>
    <w:pPr>
      <w:keepNext/>
      <w:keepLines/>
      <w:spacing w:before="260" w:after="260" w:line="416" w:lineRule="auto"/>
      <w:outlineLvl w:val="2"/>
    </w:pPr>
    <w:rPr>
      <w:b/>
      <w:bCs/>
      <w:sz w:val="32"/>
      <w:szCs w:val="32"/>
    </w:rPr>
  </w:style>
  <w:style w:type="character" w:default="1" w:styleId="9">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3">
    <w:name w:val="Document Map"/>
    <w:basedOn w:val="1"/>
    <w:link w:val="18"/>
    <w:unhideWhenUsed/>
    <w:uiPriority w:val="99"/>
    <w:rPr>
      <w:rFonts w:ascii="宋体"/>
      <w:sz w:val="18"/>
      <w:szCs w:val="18"/>
    </w:rPr>
  </w:style>
  <w:style w:type="paragraph" w:styleId="4">
    <w:name w:val="annotation text"/>
    <w:basedOn w:val="1"/>
    <w:unhideWhenUsed/>
    <w:uiPriority w:val="99"/>
    <w:pPr>
      <w:jc w:val="left"/>
    </w:pPr>
  </w:style>
  <w:style w:type="paragraph" w:styleId="5">
    <w:name w:val="Body Text Indent 2"/>
    <w:basedOn w:val="1"/>
    <w:link w:val="15"/>
    <w:qFormat/>
    <w:uiPriority w:val="0"/>
    <w:pPr>
      <w:spacing w:after="120" w:line="480" w:lineRule="auto"/>
      <w:ind w:left="420" w:leftChars="200"/>
    </w:pPr>
  </w:style>
  <w:style w:type="paragraph" w:styleId="6">
    <w:name w:val="Balloon Text"/>
    <w:basedOn w:val="1"/>
    <w:link w:val="17"/>
    <w:unhideWhenUsed/>
    <w:uiPriority w:val="99"/>
    <w:pPr>
      <w:spacing w:after="0" w:line="240" w:lineRule="auto"/>
    </w:pPr>
    <w:rPr>
      <w:rFonts w:ascii="Segoe UI" w:hAnsi="Segoe UI" w:cs="Segoe UI"/>
      <w:sz w:val="18"/>
      <w:szCs w:val="18"/>
    </w:rPr>
  </w:style>
  <w:style w:type="paragraph" w:styleId="7">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10">
    <w:name w:val="annotation reference"/>
    <w:basedOn w:val="9"/>
    <w:unhideWhenUsed/>
    <w:qFormat/>
    <w:uiPriority w:val="99"/>
    <w:rPr>
      <w:sz w:val="16"/>
      <w:szCs w:val="16"/>
    </w:rPr>
  </w:style>
  <w:style w:type="character" w:customStyle="1" w:styleId="12">
    <w:name w:val="页眉 Char"/>
    <w:basedOn w:val="9"/>
    <w:link w:val="8"/>
    <w:semiHidden/>
    <w:qFormat/>
    <w:uiPriority w:val="99"/>
    <w:rPr>
      <w:sz w:val="18"/>
      <w:szCs w:val="18"/>
    </w:rPr>
  </w:style>
  <w:style w:type="character" w:customStyle="1" w:styleId="13">
    <w:name w:val="页脚 Char"/>
    <w:basedOn w:val="9"/>
    <w:link w:val="7"/>
    <w:semiHidden/>
    <w:qFormat/>
    <w:uiPriority w:val="99"/>
    <w:rPr>
      <w:sz w:val="18"/>
      <w:szCs w:val="18"/>
    </w:rPr>
  </w:style>
  <w:style w:type="character" w:customStyle="1" w:styleId="14">
    <w:name w:val="标题 3 Char"/>
    <w:basedOn w:val="9"/>
    <w:link w:val="2"/>
    <w:qFormat/>
    <w:uiPriority w:val="0"/>
    <w:rPr>
      <w:rFonts w:ascii="Times New Roman" w:hAnsi="Times New Roman" w:eastAsia="宋体" w:cs="Times New Roman"/>
      <w:b/>
      <w:bCs/>
      <w:sz w:val="32"/>
      <w:szCs w:val="32"/>
    </w:rPr>
  </w:style>
  <w:style w:type="character" w:customStyle="1" w:styleId="15">
    <w:name w:val="正文文本缩进 2 Char"/>
    <w:basedOn w:val="9"/>
    <w:link w:val="5"/>
    <w:qFormat/>
    <w:uiPriority w:val="0"/>
    <w:rPr>
      <w:rFonts w:ascii="Times New Roman" w:hAnsi="Times New Roman" w:eastAsia="宋体" w:cs="Times New Roman"/>
      <w:szCs w:val="20"/>
    </w:rPr>
  </w:style>
  <w:style w:type="paragraph" w:customStyle="1" w:styleId="16">
    <w:name w:val="Default"/>
    <w:qFormat/>
    <w:uiPriority w:val="0"/>
    <w:pPr>
      <w:widowControl w:val="0"/>
      <w:autoSpaceDE w:val="0"/>
      <w:autoSpaceDN w:val="0"/>
      <w:adjustRightInd w:val="0"/>
      <w:spacing w:after="160" w:line="259" w:lineRule="auto"/>
    </w:pPr>
    <w:rPr>
      <w:rFonts w:ascii="仿宋" w:hAnsi="Calibri" w:eastAsia="仿宋" w:cs="仿宋"/>
      <w:color w:val="000000"/>
      <w:sz w:val="24"/>
      <w:szCs w:val="24"/>
      <w:lang w:val="en-US" w:eastAsia="zh-CN" w:bidi="ar-SA"/>
    </w:rPr>
  </w:style>
  <w:style w:type="character" w:customStyle="1" w:styleId="17">
    <w:name w:val="批注框文本 Char"/>
    <w:basedOn w:val="9"/>
    <w:link w:val="6"/>
    <w:semiHidden/>
    <w:uiPriority w:val="99"/>
    <w:rPr>
      <w:rFonts w:ascii="Segoe UI" w:hAnsi="Segoe UI" w:cs="Segoe UI"/>
      <w:kern w:val="2"/>
      <w:sz w:val="18"/>
      <w:szCs w:val="18"/>
      <w:lang w:val="en-US"/>
    </w:rPr>
  </w:style>
  <w:style w:type="character" w:customStyle="1" w:styleId="18">
    <w:name w:val="文档结构图 Char"/>
    <w:basedOn w:val="9"/>
    <w:link w:val="3"/>
    <w:semiHidden/>
    <w:uiPriority w:val="99"/>
    <w:rPr>
      <w:rFonts w:ascii="宋体"/>
      <w:kern w:val="2"/>
      <w:sz w:val="18"/>
      <w:szCs w:val="18"/>
      <w:lang w:val="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KPMG</Company>
  <Pages>3</Pages>
  <Words>322</Words>
  <Characters>1836</Characters>
  <Lines>15</Lines>
  <Paragraphs>4</Paragraphs>
  <ScaleCrop>false</ScaleCrop>
  <LinksUpToDate>false</LinksUpToDate>
  <CharactersWithSpaces>2154</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2018-02-27T07:38:00Z</dcterms:created>
  <dc:creator>sdk007</dc:creator>
  <cp:lastModifiedBy>lailai </cp:lastModifiedBy>
  <dcterms:modified xsi:type="dcterms:W3CDTF">2018-02-27T10:41:56Z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