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980"/>
          <w:tab w:val="left" w:pos="6100"/>
        </w:tabs>
        <w:spacing w:line="239" w:lineRule="auto"/>
        <w:rPr>
          <w:b/>
          <w:bCs/>
          <w:sz w:val="23"/>
          <w:szCs w:val="23"/>
        </w:rPr>
      </w:pPr>
      <w:bookmarkStart w:id="0" w:name="_GoBack"/>
      <w:bookmarkEnd w:id="0"/>
      <w:r>
        <w:rPr>
          <w:rFonts w:cs="宋体"/>
          <w:b/>
          <w:bCs/>
          <w:sz w:val="24"/>
          <w:lang w:val="zh-TW" w:eastAsia="zh-TW"/>
        </w:rPr>
        <w:t>证券代码：</w:t>
      </w:r>
      <w:r>
        <w:rPr>
          <w:rFonts w:ascii="Times New Roman" w:hAnsi="Times New Roman"/>
          <w:b/>
          <w:bCs/>
          <w:sz w:val="24"/>
        </w:rPr>
        <w:t>002910</w:t>
      </w:r>
      <w:r>
        <w:rPr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cs="宋体"/>
          <w:b/>
          <w:bCs/>
          <w:sz w:val="24"/>
          <w:lang w:val="zh-TW" w:eastAsia="zh-TW"/>
        </w:rPr>
        <w:t>证券简称：庄园牧场</w:t>
      </w:r>
      <w:r>
        <w:rPr>
          <w:b/>
          <w:bCs/>
        </w:rPr>
        <w:tab/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cs="宋体"/>
          <w:b/>
          <w:bCs/>
          <w:sz w:val="23"/>
          <w:szCs w:val="23"/>
          <w:lang w:val="zh-TW" w:eastAsia="zh-TW"/>
        </w:rPr>
        <w:t>公告编号：</w:t>
      </w:r>
      <w:r>
        <w:rPr>
          <w:rFonts w:ascii="Times New Roman" w:hAnsi="Times New Roman"/>
          <w:b/>
          <w:bCs/>
          <w:sz w:val="23"/>
          <w:szCs w:val="23"/>
          <w:highlight w:val="none"/>
        </w:rPr>
        <w:t>201</w:t>
      </w:r>
      <w:r>
        <w:rPr>
          <w:rFonts w:hint="eastAsia" w:ascii="Times New Roman" w:hAnsi="Times New Roman"/>
          <w:b/>
          <w:bCs/>
          <w:sz w:val="23"/>
          <w:szCs w:val="23"/>
          <w:highlight w:val="none"/>
        </w:rPr>
        <w:t>8</w:t>
      </w:r>
      <w:r>
        <w:rPr>
          <w:rFonts w:ascii="Times New Roman" w:hAnsi="Times New Roman"/>
          <w:b/>
          <w:bCs/>
          <w:sz w:val="23"/>
          <w:szCs w:val="23"/>
          <w:highlight w:val="none"/>
        </w:rPr>
        <w:t>-00</w:t>
      </w:r>
      <w:r>
        <w:rPr>
          <w:rFonts w:hint="eastAsia" w:ascii="Times New Roman" w:hAnsi="Times New Roman"/>
          <w:b/>
          <w:bCs/>
          <w:sz w:val="23"/>
          <w:szCs w:val="23"/>
          <w:highlight w:val="none"/>
          <w:lang w:val="en-US" w:eastAsia="zh-CN"/>
        </w:rPr>
        <w:t>9</w:t>
      </w:r>
    </w:p>
    <w:p>
      <w:pPr>
        <w:spacing w:line="200" w:lineRule="exact"/>
        <w:rPr>
          <w:sz w:val="24"/>
        </w:rPr>
      </w:pPr>
    </w:p>
    <w:p>
      <w:pPr>
        <w:spacing w:line="200" w:lineRule="exact"/>
        <w:rPr>
          <w:sz w:val="24"/>
        </w:rPr>
      </w:pPr>
    </w:p>
    <w:p>
      <w:pPr>
        <w:spacing w:line="247" w:lineRule="exact"/>
        <w:rPr>
          <w:sz w:val="24"/>
        </w:rPr>
      </w:pPr>
    </w:p>
    <w:p>
      <w:pPr>
        <w:spacing w:line="20" w:lineRule="atLeast"/>
        <w:ind w:left="1980"/>
        <w:rPr>
          <w:rFonts w:cs="宋体"/>
          <w:b/>
          <w:bCs/>
          <w:sz w:val="36"/>
          <w:szCs w:val="36"/>
          <w:lang w:val="zh-TW" w:eastAsia="zh-TW"/>
        </w:rPr>
      </w:pPr>
      <w:r>
        <w:rPr>
          <w:rFonts w:cs="宋体"/>
          <w:b/>
          <w:bCs/>
          <w:sz w:val="36"/>
          <w:szCs w:val="36"/>
          <w:lang w:val="zh-TW" w:eastAsia="zh-TW"/>
        </w:rPr>
        <w:t>兰州庄园牧场股份有限公司</w:t>
      </w:r>
    </w:p>
    <w:p>
      <w:pPr>
        <w:spacing w:line="213" w:lineRule="exact"/>
        <w:rPr>
          <w:sz w:val="24"/>
        </w:rPr>
      </w:pPr>
    </w:p>
    <w:p>
      <w:pPr>
        <w:spacing w:line="20" w:lineRule="atLeast"/>
        <w:jc w:val="center"/>
        <w:rPr>
          <w:rFonts w:cs="宋体"/>
          <w:b/>
          <w:bCs/>
          <w:sz w:val="36"/>
          <w:szCs w:val="36"/>
          <w:lang w:val="zh-TW" w:eastAsia="zh-TW"/>
        </w:rPr>
      </w:pPr>
      <w:r>
        <w:rPr>
          <w:rFonts w:hint="eastAsia" w:cs="宋体"/>
          <w:b/>
          <w:bCs/>
          <w:sz w:val="36"/>
          <w:szCs w:val="36"/>
          <w:lang w:val="zh-TW"/>
        </w:rPr>
        <w:t>关于会计政策变更的</w:t>
      </w:r>
      <w:r>
        <w:rPr>
          <w:rFonts w:hint="eastAsia" w:cs="宋体"/>
          <w:b/>
          <w:bCs/>
          <w:sz w:val="36"/>
          <w:szCs w:val="36"/>
          <w:lang w:val="zh-TW" w:eastAsia="zh-CN"/>
        </w:rPr>
        <w:t>补充</w:t>
      </w:r>
      <w:r>
        <w:rPr>
          <w:rFonts w:cs="宋体"/>
          <w:b/>
          <w:bCs/>
          <w:sz w:val="36"/>
          <w:szCs w:val="36"/>
          <w:lang w:val="zh-TW" w:eastAsia="zh-TW"/>
        </w:rPr>
        <w:t>公告</w:t>
      </w:r>
    </w:p>
    <w:p>
      <w:pPr>
        <w:spacing w:line="200" w:lineRule="exact"/>
        <w:rPr>
          <w:sz w:val="24"/>
        </w:rPr>
      </w:pPr>
      <w:r>
        <w:rPr>
          <w:rFonts w:cs="宋体"/>
          <w:b/>
          <w:bCs/>
          <w:sz w:val="36"/>
          <w:szCs w:val="36"/>
        </w:rPr>
        <w:pict>
          <v:line id="直线 2" o:spid="_x0000_s1029" o:spt="20" style="position:absolute;left:0pt;margin-left:456.1pt;margin-top:27.9pt;height:66.1pt;width:0pt;mso-position-vertical-relative:line;z-index:-251662336;mso-width-relative:page;mso-height-relative:page;" coordsize="21600,21600" o:gfxdata="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YrZH51wAAAAoBAAAPAAAAAAAAAAEAIAAAACIAAABk&#10;cnMvZG93bnJldi54bWxQSwECFAAUAAAACACHTuJAim/+Wc4BAACNAwAADgAAAAAAAAABACAAAAAm&#10;AQAAZHJzL2Uyb0RvYy54bWxQSwUGAAAAAAYABgBZAQAAZgUAAAAA&#10;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cs="宋体"/>
          <w:b/>
          <w:bCs/>
          <w:sz w:val="36"/>
          <w:szCs w:val="36"/>
        </w:rPr>
        <w:pict>
          <v:line id="直线 3" o:spid="_x0000_s1026" o:spt="20" style="position:absolute;left:0pt;margin-left:-35.6pt;margin-top:27.9pt;height:0pt;width:492.7pt;mso-position-vertical-relative:line;z-index:-251661312;mso-width-relative:page;mso-height-relative:page;" coordsize="21600,21600" o:gfxdata="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3tbNrXAAAACQEAAA8AAAAAAAAAAQAgAAAAIgAAAGRy&#10;cy9kb3ducmV2LnhtbFBLAQIUABQAAAAIAIdO4kBQ3Z/wzQEAAI4DAAAOAAAAAAAAAAEAIAAAACYB&#10;AABkcnMvZTJvRG9jLnhtbFBLBQYAAAAABgAGAFkBAABlBQAAAAA=&#10;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cs="宋体"/>
          <w:b/>
          <w:bCs/>
          <w:sz w:val="36"/>
          <w:szCs w:val="36"/>
        </w:rPr>
        <w:pict>
          <v:line id="_x0000_s1028" o:spid="_x0000_s1028" o:spt="20" style="position:absolute;left:0pt;flip:x;margin-left:-35.5pt;margin-top:27.9pt;height:66.1pt;width:0pt;mso-position-vertical-relative:line;z-index:-251660288;mso-width-relative:page;mso-height-relative:page;" coordsize="21600,21600" o:gfxdata="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OAU3edcAAAAKAQAADwAAAAAAAAABACAA&#10;AAAiAAAAZHJzL2Rvd25yZXYueG1sUEsBAhQAFAAAAAgAh07iQGkI38jVAQAAlwMAAA4AAAAAAAAA&#10;AQAgAAAAJgEAAGRycy9lMm9Eb2MueG1sUEsFBgAAAAAGAAYAWQEAAG0FAAAAAA==&#10;">
            <v:path arrowok="t"/>
            <v:fill focussize="0,0"/>
            <v:stroke weight="1pt"/>
            <v:imagedata o:title=""/>
            <o:lock v:ext="edit"/>
          </v:line>
        </w:pict>
      </w:r>
      <w:r>
        <w:rPr>
          <w:rFonts w:cs="宋体"/>
          <w:b/>
          <w:bCs/>
          <w:sz w:val="36"/>
          <w:szCs w:val="36"/>
        </w:rPr>
        <w:pict>
          <v:line id="直线 5" o:spid="_x0000_s1027" o:spt="20" style="position:absolute;left:0pt;margin-left:-35.6pt;margin-top:93pt;height:0pt;width:492.7pt;mso-position-vertical-relative:line;z-index:-251659264;mso-width-relative:page;mso-height-relative:page;" coordsize="21600,21600" o:gfxdata="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ouVY9gAAAALAQAADwAAAAAAAAABACAAAAAiAAAA&#10;ZHJzL2Rvd25yZXYueG1sUEsBAhQAFAAAAAgAh07iQIHe+rDOAQAAjgMAAA4AAAAAAAAAAQAgAAAA&#10;JwEAAGRycy9lMm9Eb2MueG1sUEsFBgAAAAAGAAYAWQEAAGcFAAAAAA==&#10;">
            <v:path arrowok="t"/>
            <v:fill focussize="0,0"/>
            <v:stroke weight="1pt"/>
            <v:imagedata o:title=""/>
            <o:lock v:ext="edit"/>
          </v:line>
        </w:pict>
      </w:r>
    </w:p>
    <w:p>
      <w:pPr>
        <w:spacing w:line="200" w:lineRule="exact"/>
        <w:rPr>
          <w:sz w:val="24"/>
        </w:rPr>
      </w:pPr>
    </w:p>
    <w:p>
      <w:pPr>
        <w:spacing w:line="200" w:lineRule="exact"/>
        <w:rPr>
          <w:sz w:val="24"/>
        </w:rPr>
      </w:pPr>
    </w:p>
    <w:p>
      <w:pPr>
        <w:spacing w:line="235" w:lineRule="exact"/>
        <w:rPr>
          <w:sz w:val="24"/>
        </w:rPr>
      </w:pPr>
    </w:p>
    <w:p>
      <w:pPr>
        <w:spacing w:line="20" w:lineRule="atLeast"/>
        <w:ind w:left="480"/>
        <w:rPr>
          <w:rFonts w:cs="宋体"/>
          <w:b/>
          <w:bCs/>
          <w:sz w:val="24"/>
          <w:lang w:val="zh-TW" w:eastAsia="zh-TW"/>
        </w:rPr>
      </w:pPr>
      <w:r>
        <w:rPr>
          <w:rFonts w:cs="宋体"/>
          <w:b/>
          <w:bCs/>
          <w:sz w:val="24"/>
          <w:lang w:val="zh-TW" w:eastAsia="zh-TW"/>
        </w:rPr>
        <w:t>本公司及董事会全体成员保证公告内容的真实、准确和完整，没有虚假记</w:t>
      </w:r>
    </w:p>
    <w:p>
      <w:pPr>
        <w:spacing w:line="194" w:lineRule="exact"/>
        <w:rPr>
          <w:sz w:val="24"/>
        </w:rPr>
      </w:pPr>
    </w:p>
    <w:p>
      <w:pPr>
        <w:spacing w:line="20" w:lineRule="atLeast"/>
        <w:rPr>
          <w:rFonts w:cs="宋体"/>
          <w:b/>
          <w:bCs/>
          <w:sz w:val="24"/>
          <w:lang w:val="zh-TW" w:eastAsia="zh-TW"/>
        </w:rPr>
      </w:pPr>
      <w:r>
        <w:rPr>
          <w:rFonts w:cs="宋体"/>
          <w:b/>
          <w:bCs/>
          <w:sz w:val="24"/>
          <w:lang w:val="zh-TW" w:eastAsia="zh-TW"/>
        </w:rPr>
        <w:t>载、误导性陈述或重大遗漏。</w:t>
      </w:r>
    </w:p>
    <w:p>
      <w:pPr>
        <w:spacing w:line="200" w:lineRule="exact"/>
        <w:rPr>
          <w:sz w:val="24"/>
        </w:rPr>
      </w:pPr>
    </w:p>
    <w:p>
      <w:pPr>
        <w:spacing w:line="200" w:lineRule="exact"/>
        <w:rPr>
          <w:sz w:val="24"/>
        </w:rPr>
      </w:pP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兰州庄园牧场股份有限公司</w:t>
      </w:r>
      <w:r>
        <w:rPr>
          <w:rFonts w:hint="eastAsia" w:cs="宋体"/>
          <w:sz w:val="24"/>
          <w:lang w:eastAsia="zh-CN"/>
        </w:rPr>
        <w:t>（以下简称“公司”或“庄园牧场”）</w:t>
      </w:r>
      <w:r>
        <w:rPr>
          <w:rFonts w:hint="eastAsia" w:cs="宋体"/>
          <w:sz w:val="24"/>
        </w:rPr>
        <w:t>于2018年2月6日</w:t>
      </w:r>
      <w:r>
        <w:rPr>
          <w:rFonts w:hint="eastAsia" w:cs="宋体"/>
          <w:sz w:val="24"/>
          <w:lang w:eastAsia="zh-CN"/>
        </w:rPr>
        <w:t>在</w:t>
      </w:r>
      <w:r>
        <w:rPr>
          <w:rFonts w:hint="eastAsia" w:cs="宋体"/>
          <w:sz w:val="24"/>
        </w:rPr>
        <w:t>《证券时报》、《证券日报》、《中国证券报》、《上海证券报》及巨潮资讯网（http://www.cninfo.com.cn）</w:t>
      </w:r>
      <w:r>
        <w:rPr>
          <w:rFonts w:hint="eastAsia" w:cs="宋体"/>
          <w:sz w:val="24"/>
          <w:lang w:eastAsia="zh-CN"/>
        </w:rPr>
        <w:t>刊登</w:t>
      </w:r>
      <w:r>
        <w:rPr>
          <w:rFonts w:hint="eastAsia" w:cs="宋体"/>
          <w:sz w:val="24"/>
        </w:rPr>
        <w:t>了关于《兰州庄园牧场股份有限公司关于会计政策变更的公告》，根据</w:t>
      </w:r>
      <w:r>
        <w:rPr>
          <w:rFonts w:hint="eastAsia" w:cs="宋体"/>
          <w:sz w:val="24"/>
          <w:lang w:eastAsia="zh-CN"/>
        </w:rPr>
        <w:t>交易所</w:t>
      </w:r>
      <w:r>
        <w:rPr>
          <w:rFonts w:hint="eastAsia" w:cs="宋体"/>
          <w:sz w:val="24"/>
        </w:rPr>
        <w:t>监管要求，</w:t>
      </w:r>
      <w:r>
        <w:rPr>
          <w:rFonts w:hint="eastAsia" w:cs="宋体"/>
          <w:sz w:val="24"/>
          <w:lang w:eastAsia="zh-CN"/>
        </w:rPr>
        <w:t>现就本次</w:t>
      </w:r>
      <w:r>
        <w:rPr>
          <w:rFonts w:hint="eastAsia" w:cs="宋体"/>
          <w:sz w:val="24"/>
        </w:rPr>
        <w:t>会计政策变更</w:t>
      </w:r>
      <w:r>
        <w:rPr>
          <w:rFonts w:hint="eastAsia" w:cs="宋体"/>
          <w:sz w:val="24"/>
          <w:lang w:eastAsia="zh-CN"/>
        </w:rPr>
        <w:t>涉及公司业务范围及</w:t>
      </w:r>
      <w:r>
        <w:rPr>
          <w:rFonts w:hint="eastAsia" w:cs="宋体"/>
          <w:sz w:val="24"/>
        </w:rPr>
        <w:t>影响补充如下：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本次会计政策变更</w:t>
      </w:r>
      <w:r>
        <w:rPr>
          <w:rFonts w:hint="eastAsia" w:cs="宋体"/>
          <w:sz w:val="24"/>
          <w:lang w:eastAsia="zh-CN"/>
        </w:rPr>
        <w:t>所涉及的业务范围包括“收入”、“政府补助”和“资产处置”，上述业务范围所涉及的政策变更</w:t>
      </w:r>
      <w:r>
        <w:rPr>
          <w:rFonts w:hint="eastAsia" w:cs="宋体"/>
          <w:sz w:val="24"/>
        </w:rPr>
        <w:t>不会对公司股东权益</w:t>
      </w:r>
      <w:r>
        <w:rPr>
          <w:rFonts w:hint="eastAsia" w:cs="宋体"/>
          <w:sz w:val="24"/>
          <w:lang w:eastAsia="zh-CN"/>
        </w:rPr>
        <w:t>和</w:t>
      </w:r>
      <w:r>
        <w:rPr>
          <w:rFonts w:hint="eastAsia" w:cs="宋体"/>
          <w:sz w:val="24"/>
        </w:rPr>
        <w:t>净利润产生影响</w:t>
      </w:r>
      <w:r>
        <w:rPr>
          <w:rFonts w:hint="eastAsia" w:cs="宋体"/>
          <w:sz w:val="24"/>
          <w:lang w:eastAsia="zh-CN"/>
        </w:rPr>
        <w:t>，</w:t>
      </w:r>
      <w:r>
        <w:rPr>
          <w:rFonts w:hint="eastAsia" w:cs="宋体"/>
          <w:sz w:val="24"/>
        </w:rPr>
        <w:t>且不涉及对以前年度损益的追溯调整。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  <w:lang w:eastAsia="zh-CN"/>
        </w:rPr>
        <w:t>仅有“政府补助”和“资产处置”的会计政策变更会对报表的项目列示产生影响：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一、</w:t>
      </w:r>
      <w:r>
        <w:rPr>
          <w:rFonts w:hint="eastAsia" w:cs="宋体"/>
          <w:sz w:val="24"/>
          <w:lang w:eastAsia="zh-CN"/>
        </w:rPr>
        <w:t>修订后的</w:t>
      </w:r>
      <w:r>
        <w:rPr>
          <w:rFonts w:hint="eastAsia" w:cs="宋体"/>
          <w:sz w:val="24"/>
        </w:rPr>
        <w:t>《企业会计准则第16号——政府补助》（财会〔2017〕15号）对公司财务报表项目列示产生的影响如下：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1、在利润表中新增“其他收益”项目，将部分原列示为“营业外收入”的政府补助重分类至“其他收益”项目。比较数据不做调整。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2、将取得的由财政直接拨付的政策性优惠贷款贴息，由原列示为“营业外收入”重分类至调减财务费用。比较数据不做调整。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二、</w:t>
      </w:r>
      <w:r>
        <w:rPr>
          <w:rFonts w:hint="eastAsia" w:cs="宋体"/>
          <w:sz w:val="24"/>
          <w:lang w:eastAsia="zh-CN"/>
        </w:rPr>
        <w:t>修订后的</w:t>
      </w:r>
      <w:r>
        <w:rPr>
          <w:rFonts w:hint="eastAsia" w:cs="宋体"/>
          <w:sz w:val="24"/>
        </w:rPr>
        <w:t>《企业会计准则第42号——持有待售的非流动资产、处置组和终止经营》（财会〔2017〕13号）对公司财务报表项目列示产生的影响如下：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在利润表中新增“资产处置收益”项目，将部分原列示为“营业外收入”及“营业外支出”的资产处置损益重分类至“资产处置收益”项目。比较数据相应调整。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  <w:r>
        <w:rPr>
          <w:rFonts w:hint="eastAsia" w:cs="宋体"/>
          <w:sz w:val="24"/>
        </w:rPr>
        <w:t>除上述补充内容之外，原公告其他内容不变。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hint="eastAsia" w:cs="宋体"/>
          <w:sz w:val="24"/>
        </w:rPr>
      </w:pP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  <w:r>
        <w:rPr>
          <w:rFonts w:hint="eastAsia" w:cs="宋体"/>
          <w:sz w:val="24"/>
        </w:rPr>
        <w:t>特此公告</w:t>
      </w: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color w:val="000000"/>
          <w:sz w:val="24"/>
        </w:rPr>
      </w:pPr>
    </w:p>
    <w:p>
      <w:pPr>
        <w:adjustRightInd w:val="0"/>
        <w:snapToGrid w:val="0"/>
        <w:spacing w:before="156" w:beforeLines="50" w:line="360" w:lineRule="auto"/>
        <w:ind w:firstLine="424" w:firstLineChars="177"/>
        <w:rPr>
          <w:rFonts w:cs="宋体"/>
          <w:sz w:val="24"/>
        </w:rPr>
      </w:pPr>
      <w:r>
        <w:rPr>
          <w:rFonts w:hint="eastAsia" w:cs="宋体"/>
          <w:color w:val="000000"/>
          <w:sz w:val="24"/>
        </w:rPr>
        <w:t xml:space="preserve">                                   兰州庄园牧场股份有限公司</w:t>
      </w:r>
      <w:r>
        <w:rPr>
          <w:rFonts w:hint="eastAsia" w:cs="宋体"/>
          <w:sz w:val="24"/>
        </w:rPr>
        <w:t>董事会</w:t>
      </w:r>
    </w:p>
    <w:p>
      <w:pPr>
        <w:adjustRightInd w:val="0"/>
        <w:snapToGrid w:val="0"/>
        <w:spacing w:before="156" w:beforeLines="50" w:line="360" w:lineRule="auto"/>
        <w:ind w:right="-56" w:rightChars="-20" w:firstLine="5940" w:firstLineChars="2475"/>
        <w:rPr>
          <w:rFonts w:cs="宋体"/>
          <w:sz w:val="24"/>
        </w:rPr>
      </w:pPr>
      <w:r>
        <w:rPr>
          <w:rFonts w:hint="eastAsia" w:cs="宋体"/>
          <w:sz w:val="24"/>
        </w:rPr>
        <w:t>2018年2月</w:t>
      </w:r>
      <w:r>
        <w:rPr>
          <w:rFonts w:hint="eastAsia" w:cs="宋体"/>
          <w:sz w:val="24"/>
          <w:lang w:val="en-US" w:eastAsia="zh-CN"/>
        </w:rPr>
        <w:t>7</w:t>
      </w:r>
      <w:r>
        <w:rPr>
          <w:rFonts w:hint="eastAsia" w:cs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31ECB"/>
    <w:rsid w:val="000202FF"/>
    <w:rsid w:val="00036529"/>
    <w:rsid w:val="001761A8"/>
    <w:rsid w:val="001A55F2"/>
    <w:rsid w:val="0021115B"/>
    <w:rsid w:val="002633E3"/>
    <w:rsid w:val="003A28D8"/>
    <w:rsid w:val="004811F0"/>
    <w:rsid w:val="0051007B"/>
    <w:rsid w:val="00533BCE"/>
    <w:rsid w:val="00554016"/>
    <w:rsid w:val="005E3164"/>
    <w:rsid w:val="006A0B07"/>
    <w:rsid w:val="006B571A"/>
    <w:rsid w:val="006F4F53"/>
    <w:rsid w:val="00752710"/>
    <w:rsid w:val="00831ECB"/>
    <w:rsid w:val="008F4F96"/>
    <w:rsid w:val="009F1A7F"/>
    <w:rsid w:val="00A3332A"/>
    <w:rsid w:val="00AC2B1B"/>
    <w:rsid w:val="00C0600D"/>
    <w:rsid w:val="00D110FC"/>
    <w:rsid w:val="00D2271F"/>
    <w:rsid w:val="00EF5DB4"/>
    <w:rsid w:val="00F72023"/>
    <w:rsid w:val="00FC428B"/>
    <w:rsid w:val="01186A65"/>
    <w:rsid w:val="03355A63"/>
    <w:rsid w:val="041D1543"/>
    <w:rsid w:val="04F34CB5"/>
    <w:rsid w:val="062B25F7"/>
    <w:rsid w:val="08A07F36"/>
    <w:rsid w:val="0A3F3004"/>
    <w:rsid w:val="105B6889"/>
    <w:rsid w:val="107C6C57"/>
    <w:rsid w:val="116D4D94"/>
    <w:rsid w:val="12AE2D4D"/>
    <w:rsid w:val="13DA4B6D"/>
    <w:rsid w:val="14412914"/>
    <w:rsid w:val="18EE3B9D"/>
    <w:rsid w:val="1DEB3956"/>
    <w:rsid w:val="1FFF4DD4"/>
    <w:rsid w:val="223C1806"/>
    <w:rsid w:val="24EF6A8B"/>
    <w:rsid w:val="25B71368"/>
    <w:rsid w:val="2A1E2FDD"/>
    <w:rsid w:val="2B14306E"/>
    <w:rsid w:val="2BC24B9E"/>
    <w:rsid w:val="2D1F1B17"/>
    <w:rsid w:val="2EBE3899"/>
    <w:rsid w:val="36112368"/>
    <w:rsid w:val="38C73E3D"/>
    <w:rsid w:val="38E96EB9"/>
    <w:rsid w:val="3B186BE2"/>
    <w:rsid w:val="3B6A0F2E"/>
    <w:rsid w:val="3E892A49"/>
    <w:rsid w:val="40CB6003"/>
    <w:rsid w:val="41FB1AD7"/>
    <w:rsid w:val="46697A32"/>
    <w:rsid w:val="498D6D6C"/>
    <w:rsid w:val="51B5346C"/>
    <w:rsid w:val="536F19F4"/>
    <w:rsid w:val="61C012E6"/>
    <w:rsid w:val="62A04923"/>
    <w:rsid w:val="67BE5085"/>
    <w:rsid w:val="68EF6C15"/>
    <w:rsid w:val="697D584D"/>
    <w:rsid w:val="69D81D4D"/>
    <w:rsid w:val="71075015"/>
    <w:rsid w:val="718347C9"/>
    <w:rsid w:val="79BE03A7"/>
    <w:rsid w:val="7CB9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rFonts w:ascii="宋体" w:hAns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0E16E5-1ED8-4D3C-90FB-99A8D4C380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432</Words>
  <Characters>2469</Characters>
  <Lines>20</Lines>
  <Paragraphs>5</Paragraphs>
  <ScaleCrop>false</ScaleCrop>
  <LinksUpToDate>false</LinksUpToDate>
  <CharactersWithSpaces>2896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2016-04-21T06:48:00Z</dcterms:created>
  <dc:creator>NTKO</dc:creator>
  <cp:lastModifiedBy>lailai </cp:lastModifiedBy>
  <dcterms:modified xsi:type="dcterms:W3CDTF">2018-02-07T09:31:44Z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