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980"/>
          <w:tab w:val="left" w:pos="6100"/>
        </w:tabs>
        <w:spacing w:line="239" w:lineRule="auto"/>
        <w:rPr>
          <w:rFonts w:hint="default"/>
          <w:b/>
          <w:bCs/>
          <w:sz w:val="23"/>
          <w:szCs w:val="23"/>
          <w:highlight w:val="none"/>
        </w:rPr>
      </w:pPr>
      <w:r>
        <w:rPr>
          <w:rFonts w:ascii="宋体" w:hAnsi="宋体" w:eastAsia="宋体" w:cs="宋体"/>
          <w:b/>
          <w:bCs/>
          <w:sz w:val="24"/>
          <w:szCs w:val="24"/>
          <w:lang w:val="zh-TW" w:eastAsia="zh-TW"/>
        </w:rPr>
        <w:t>证券代码：</w:t>
      </w:r>
      <w:r>
        <w:rPr>
          <w:rFonts w:ascii="Times New Roman" w:hAnsi="Times New Roman"/>
          <w:b/>
          <w:bCs/>
          <w:sz w:val="24"/>
          <w:szCs w:val="24"/>
        </w:rPr>
        <w:t>002910</w:t>
      </w:r>
      <w:r>
        <w:rPr>
          <w:rFonts w:hint="eastAsia" w:ascii="Times New Roman" w:hAnsi="Times New Roman"/>
          <w:b/>
          <w:bCs/>
          <w:sz w:val="24"/>
          <w:szCs w:val="24"/>
          <w:lang w:val="en-US" w:eastAsia="zh-CN"/>
        </w:rPr>
        <w:t xml:space="preserve"> </w:t>
      </w:r>
      <w:r>
        <w:rPr>
          <w:b/>
          <w:bCs/>
        </w:rPr>
        <w:tab/>
      </w:r>
      <w:r>
        <w:rPr>
          <w:rFonts w:ascii="宋体" w:hAnsi="宋体" w:eastAsia="宋体" w:cs="宋体"/>
          <w:b/>
          <w:bCs/>
          <w:sz w:val="24"/>
          <w:szCs w:val="24"/>
          <w:lang w:val="zh-TW" w:eastAsia="zh-TW"/>
        </w:rPr>
        <w:t>证券简称：庄园牧场</w:t>
      </w:r>
      <w:r>
        <w:rPr>
          <w:rFonts w:hint="eastAsia" w:cs="宋体"/>
          <w:b/>
          <w:bCs/>
          <w:sz w:val="24"/>
          <w:szCs w:val="24"/>
          <w:lang w:val="en-US" w:eastAsia="zh-CN"/>
        </w:rPr>
        <w:t xml:space="preserve"> </w:t>
      </w:r>
      <w:r>
        <w:rPr>
          <w:b/>
          <w:bCs/>
        </w:rPr>
        <w:tab/>
      </w:r>
      <w:r>
        <w:rPr>
          <w:rFonts w:ascii="宋体" w:hAnsi="宋体" w:eastAsia="宋体" w:cs="宋体"/>
          <w:b/>
          <w:bCs/>
          <w:sz w:val="23"/>
          <w:szCs w:val="23"/>
          <w:lang w:val="zh-TW" w:eastAsia="zh-TW"/>
        </w:rPr>
        <w:t>公告编号：</w:t>
      </w:r>
      <w:r>
        <w:rPr>
          <w:rFonts w:ascii="Times New Roman" w:hAnsi="Times New Roman"/>
          <w:b/>
          <w:bCs/>
          <w:sz w:val="23"/>
          <w:szCs w:val="23"/>
        </w:rPr>
        <w:t>201</w:t>
      </w:r>
      <w:r>
        <w:rPr>
          <w:rFonts w:hint="eastAsia" w:ascii="Times New Roman" w:hAnsi="Times New Roman"/>
          <w:b/>
          <w:bCs/>
          <w:sz w:val="23"/>
          <w:szCs w:val="23"/>
          <w:highlight w:val="none"/>
          <w:lang w:val="en-US" w:eastAsia="zh-CN"/>
        </w:rPr>
        <w:t>8</w:t>
      </w:r>
      <w:r>
        <w:rPr>
          <w:rFonts w:ascii="Times New Roman" w:hAnsi="Times New Roman"/>
          <w:b/>
          <w:bCs/>
          <w:sz w:val="23"/>
          <w:szCs w:val="23"/>
          <w:highlight w:val="none"/>
        </w:rPr>
        <w:t>-0</w:t>
      </w:r>
      <w:r>
        <w:rPr>
          <w:rFonts w:hint="eastAsia" w:ascii="Times New Roman" w:hAnsi="Times New Roman"/>
          <w:b/>
          <w:bCs/>
          <w:sz w:val="23"/>
          <w:szCs w:val="23"/>
          <w:highlight w:val="none"/>
          <w:lang w:val="en-US" w:eastAsia="zh-CN"/>
        </w:rPr>
        <w:t>07</w:t>
      </w:r>
    </w:p>
    <w:p>
      <w:pPr>
        <w:snapToGrid w:val="0"/>
        <w:spacing w:before="156" w:beforeLines="50" w:line="440" w:lineRule="exact"/>
        <w:ind w:right="367" w:rightChars="131" w:firstLine="498" w:firstLineChars="177"/>
        <w:jc w:val="center"/>
        <w:rPr>
          <w:rFonts w:ascii="楷体" w:hAnsi="楷体" w:eastAsia="楷体" w:cs="楷体"/>
          <w:b/>
          <w:bCs/>
          <w:highlight w:val="none"/>
        </w:rPr>
      </w:pPr>
    </w:p>
    <w:p>
      <w:pPr>
        <w:spacing w:line="20" w:lineRule="atLeast"/>
        <w:ind w:left="1980"/>
        <w:rPr>
          <w:rFonts w:ascii="宋体" w:hAnsi="宋体" w:eastAsia="宋体" w:cs="宋体"/>
          <w:b/>
          <w:bCs/>
          <w:sz w:val="36"/>
          <w:szCs w:val="36"/>
          <w:highlight w:val="none"/>
          <w:lang w:val="zh-TW" w:eastAsia="zh-TW"/>
        </w:rPr>
      </w:pPr>
      <w:r>
        <w:rPr>
          <w:rFonts w:ascii="宋体" w:hAnsi="宋体" w:eastAsia="宋体" w:cs="宋体"/>
          <w:b/>
          <w:bCs/>
          <w:sz w:val="36"/>
          <w:szCs w:val="36"/>
          <w:highlight w:val="none"/>
          <w:lang w:val="zh-TW" w:eastAsia="zh-TW"/>
        </w:rPr>
        <w:t>兰州庄园牧场股份有限公司</w:t>
      </w:r>
    </w:p>
    <w:p>
      <w:pPr>
        <w:keepNext w:val="0"/>
        <w:keepLines w:val="0"/>
        <w:pageBreakBefore w:val="0"/>
        <w:widowControl w:val="0"/>
        <w:kinsoku/>
        <w:wordWrap/>
        <w:overflowPunct/>
        <w:topLinePunct w:val="0"/>
        <w:autoSpaceDE/>
        <w:autoSpaceDN/>
        <w:bidi w:val="0"/>
        <w:adjustRightInd/>
        <w:snapToGrid w:val="0"/>
        <w:spacing w:before="157" w:beforeLines="50" w:line="360" w:lineRule="auto"/>
        <w:ind w:left="0" w:leftChars="0" w:right="364" w:rightChars="130" w:firstLine="636" w:firstLineChars="176"/>
        <w:jc w:val="center"/>
        <w:textAlignment w:val="auto"/>
        <w:outlineLvl w:val="9"/>
        <w:rPr>
          <w:rFonts w:hint="eastAsia" w:ascii="宋体" w:hAnsi="宋体" w:eastAsia="宋体" w:cs="宋体"/>
          <w:b/>
          <w:bCs/>
          <w:sz w:val="36"/>
          <w:szCs w:val="36"/>
          <w:highlight w:val="none"/>
        </w:rPr>
      </w:pPr>
      <w:r>
        <w:rPr>
          <w:rFonts w:hint="eastAsia" w:ascii="宋体" w:hAnsi="宋体" w:eastAsia="宋体" w:cs="宋体"/>
          <w:b/>
          <w:bCs/>
          <w:sz w:val="36"/>
          <w:szCs w:val="36"/>
          <w:highlight w:val="none"/>
        </w:rPr>
        <w:t>关于</w:t>
      </w:r>
      <w:r>
        <w:rPr>
          <w:rFonts w:hint="eastAsia" w:cs="宋体"/>
          <w:b/>
          <w:bCs/>
          <w:sz w:val="36"/>
          <w:szCs w:val="36"/>
          <w:highlight w:val="none"/>
          <w:lang w:eastAsia="zh-CN"/>
        </w:rPr>
        <w:t>聘任毕马威华振会计师事务所（特殊普通合伙）为公司2017年度审计机构</w:t>
      </w:r>
      <w:r>
        <w:rPr>
          <w:rFonts w:hint="eastAsia" w:ascii="宋体" w:hAnsi="宋体" w:eastAsia="宋体" w:cs="宋体"/>
          <w:b/>
          <w:bCs/>
          <w:sz w:val="36"/>
          <w:szCs w:val="36"/>
          <w:highlight w:val="none"/>
        </w:rPr>
        <w:t>的公告</w:t>
      </w:r>
      <w:bookmarkStart w:id="0" w:name="_GoBack"/>
      <w:bookmarkEnd w:id="0"/>
    </w:p>
    <w:p>
      <w:pPr>
        <w:spacing w:line="200" w:lineRule="exact"/>
        <w:jc w:val="center"/>
        <w:rPr>
          <w:rFonts w:hint="default"/>
          <w:sz w:val="24"/>
          <w:szCs w:val="24"/>
        </w:rPr>
      </w:pPr>
      <w:r>
        <w:rPr>
          <w:rFonts w:hint="default" w:ascii="宋体" w:hAnsi="宋体" w:eastAsia="宋体" w:cs="宋体"/>
          <w:b/>
          <w:bCs/>
          <w:sz w:val="36"/>
          <w:szCs w:val="36"/>
        </w:rPr>
        <w:pict>
          <v:line id="直线 2" o:spid="_x0000_s1029" o:spt="20" style="position:absolute;left:0pt;margin-left:456.1pt;margin-top:27.9pt;height:66.1pt;width:0pt;mso-position-vertical-relative:line;z-index:-251662336;mso-width-relative:page;mso-height-relative:page;" filled="f" stroked="t" coordsize="21600,21600" o:gfxdata="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YrZH51wAAAAoBAAAPAAAAAAAAAAEAIAAAACIAAABk&#10;cnMvZG93bnJldi54bWxQSwECFAAUAAAACACHTuJAim/+Wc4BAACNAwAADgAAAAAAAAABACAAAAAm&#10;AQAAZHJzL2Uyb0RvYy54bWxQSwUGAAAAAAYABgBZAQAAZgUAAAAA&#10;">
            <v:path arrowok="t"/>
            <v:fill on="f" focussize="0,0"/>
            <v:stroke weight="1pt" color="#000000" joinstyle="round"/>
            <v:imagedata o:title=""/>
            <o:lock v:ext="edit" aspectratio="f"/>
          </v:line>
        </w:pict>
      </w:r>
      <w:r>
        <w:rPr>
          <w:rFonts w:hint="default" w:ascii="宋体" w:hAnsi="宋体" w:eastAsia="宋体" w:cs="宋体"/>
          <w:b/>
          <w:bCs/>
          <w:sz w:val="36"/>
          <w:szCs w:val="36"/>
        </w:rPr>
        <w:pict>
          <v:line id="_x0000_s1027" o:spid="_x0000_s1027" o:spt="20" style="position:absolute;left:0pt;margin-left:-35.6pt;margin-top:27.9pt;height:0pt;width:492.7pt;mso-position-vertical-relative:line;z-index:-251661312;mso-width-relative:page;mso-height-relative:page;" filled="f" stroked="t" coordsize="21600,21600" o:gfxdata="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&#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t7Wza1wAAAAkBAAAPAAAAAAAAAAEAIAAAACIAAABk&#10;cnMvZG93bnJldi54bWxQSwECFAAUAAAACACHTuJAGCbCec4BAACOAwAADgAAAAAAAAABACAAAAAm&#10;AQAAZHJzL2Uyb0RvYy54bWxQSwUGAAAAAAYABgBZAQAAZgUAAAAA&#10;">
            <v:path arrowok="t"/>
            <v:fill on="f" focussize="0,0"/>
            <v:stroke weight="1pt" color="#000000" joinstyle="round"/>
            <v:imagedata o:title=""/>
            <o:lock v:ext="edit" aspectratio="f"/>
          </v:line>
        </w:pict>
      </w:r>
      <w:r>
        <w:rPr>
          <w:rFonts w:hint="default" w:ascii="宋体" w:hAnsi="宋体" w:eastAsia="宋体" w:cs="宋体"/>
          <w:b/>
          <w:bCs/>
          <w:sz w:val="36"/>
          <w:szCs w:val="36"/>
        </w:rPr>
        <w:pict>
          <v:line id="直线 4" o:spid="_x0000_s1026" o:spt="20" style="position:absolute;left:0pt;flip:x;margin-left:-35.5pt;margin-top:27.9pt;height:66.1pt;width:0pt;mso-position-vertical-relative:line;z-index:-251660288;mso-width-relative:page;mso-height-relative:page;" filled="f" stroked="t" coordsize="21600,21600" o:gfxdata="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4BTd51wAAAAoBAAAPAAAAAAAAAAEAIAAA&#10;ACIAAABkcnMvZG93bnJldi54bWxQSwECFAAUAAAACACHTuJADWwpdNQBAACXAwAADgAAAAAAAAAB&#10;ACAAAAAmAQAAZHJzL2Uyb0RvYy54bWxQSwUGAAAAAAYABgBZAQAAbAUAAAAA&#10;">
            <v:path arrowok="t"/>
            <v:fill on="f" focussize="0,0"/>
            <v:stroke weight="1pt" color="#000000" joinstyle="round"/>
            <v:imagedata o:title=""/>
            <o:lock v:ext="edit" aspectratio="f"/>
          </v:line>
        </w:pict>
      </w:r>
      <w:r>
        <w:rPr>
          <w:rFonts w:hint="default" w:ascii="宋体" w:hAnsi="宋体" w:eastAsia="宋体" w:cs="宋体"/>
          <w:b/>
          <w:bCs/>
          <w:sz w:val="36"/>
          <w:szCs w:val="36"/>
        </w:rPr>
        <w:pict>
          <v:line id="直线 5" o:spid="_x0000_s1028" o:spt="20" style="position:absolute;left:0pt;margin-left:-35.6pt;margin-top:93pt;height:0pt;width:492.7pt;mso-position-vertical-relative:line;z-index:-251659264;mso-width-relative:page;mso-height-relative:page;" filled="f" stroked="t" coordsize="21600,21600" o:gfxdata="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ouVY9gAAAALAQAADwAAAAAAAAABACAAAAAiAAAA&#10;ZHJzL2Rvd25yZXYueG1sUEsBAhQAFAAAAAgAh07iQIHe+rDOAQAAjgMAAA4AAAAAAAAAAQAgAAAA&#10;JwEAAGRycy9lMm9Eb2MueG1sUEsFBgAAAAAGAAYAWQEAAGcFAAAAAA==&#10;">
            <v:path arrowok="t"/>
            <v:fill on="f" focussize="0,0"/>
            <v:stroke weight="1pt" color="#000000" joinstyle="round"/>
            <v:imagedata o:title=""/>
            <o:lock v:ext="edit" aspectratio="f"/>
          </v:line>
        </w:pict>
      </w:r>
    </w:p>
    <w:p>
      <w:pPr>
        <w:spacing w:line="200" w:lineRule="exact"/>
        <w:rPr>
          <w:rFonts w:hint="default"/>
          <w:sz w:val="24"/>
          <w:szCs w:val="24"/>
        </w:rPr>
      </w:pPr>
    </w:p>
    <w:p>
      <w:pPr>
        <w:spacing w:line="200" w:lineRule="exact"/>
        <w:rPr>
          <w:rFonts w:hint="default"/>
          <w:sz w:val="24"/>
          <w:szCs w:val="24"/>
        </w:rPr>
      </w:pPr>
    </w:p>
    <w:p>
      <w:pPr>
        <w:spacing w:line="235" w:lineRule="exact"/>
        <w:rPr>
          <w:rFonts w:hint="default"/>
          <w:sz w:val="24"/>
          <w:szCs w:val="24"/>
        </w:rPr>
      </w:pPr>
    </w:p>
    <w:p>
      <w:pPr>
        <w:spacing w:line="20" w:lineRule="atLeast"/>
        <w:ind w:left="480"/>
        <w:rPr>
          <w:rFonts w:hint="default" w:ascii="宋体" w:hAnsi="宋体" w:eastAsia="宋体" w:cs="宋体"/>
          <w:b/>
          <w:bCs/>
          <w:sz w:val="24"/>
          <w:szCs w:val="24"/>
          <w:lang w:val="zh-TW" w:eastAsia="zh-TW"/>
        </w:rPr>
      </w:pPr>
      <w:r>
        <w:rPr>
          <w:rFonts w:ascii="宋体" w:hAnsi="宋体" w:eastAsia="宋体" w:cs="宋体"/>
          <w:b/>
          <w:bCs/>
          <w:sz w:val="24"/>
          <w:szCs w:val="24"/>
          <w:lang w:val="zh-TW" w:eastAsia="zh-TW"/>
        </w:rPr>
        <w:t>本公司及董事会全体成员保证公告内容的真实、准确和完整，没有虚假记</w:t>
      </w:r>
    </w:p>
    <w:p>
      <w:pPr>
        <w:spacing w:line="194" w:lineRule="exact"/>
        <w:rPr>
          <w:rFonts w:hint="default"/>
          <w:sz w:val="24"/>
          <w:szCs w:val="24"/>
        </w:rPr>
      </w:pPr>
    </w:p>
    <w:p>
      <w:pPr>
        <w:spacing w:line="20" w:lineRule="atLeast"/>
        <w:rPr>
          <w:rFonts w:hint="default" w:ascii="宋体" w:hAnsi="宋体" w:eastAsia="宋体" w:cs="宋体"/>
          <w:b/>
          <w:bCs/>
          <w:sz w:val="24"/>
          <w:szCs w:val="24"/>
          <w:lang w:val="zh-TW" w:eastAsia="zh-TW"/>
        </w:rPr>
      </w:pPr>
      <w:r>
        <w:rPr>
          <w:rFonts w:ascii="宋体" w:hAnsi="宋体" w:eastAsia="宋体" w:cs="宋体"/>
          <w:b/>
          <w:bCs/>
          <w:sz w:val="24"/>
          <w:szCs w:val="24"/>
          <w:lang w:val="zh-TW" w:eastAsia="zh-TW"/>
        </w:rPr>
        <w:t>载、误导性陈述或重大遗漏。</w:t>
      </w:r>
    </w:p>
    <w:p>
      <w:pPr>
        <w:spacing w:line="200" w:lineRule="exact"/>
        <w:rPr>
          <w:rFonts w:hint="default"/>
          <w:sz w:val="24"/>
          <w:szCs w:val="24"/>
        </w:rPr>
      </w:pPr>
    </w:p>
    <w:p>
      <w:pPr>
        <w:autoSpaceDE w:val="0"/>
        <w:autoSpaceDN w:val="0"/>
        <w:adjustRightInd w:val="0"/>
        <w:spacing w:line="440" w:lineRule="exact"/>
        <w:rPr>
          <w:rFonts w:ascii="楷体" w:hAnsi="楷体" w:eastAsia="楷体" w:cs="Times New Roman"/>
          <w:color w:val="000000"/>
          <w:sz w:val="24"/>
          <w:szCs w:val="24"/>
        </w:rPr>
      </w:pPr>
    </w:p>
    <w:p>
      <w:pPr>
        <w:keepNext w:val="0"/>
        <w:keepLines w:val="0"/>
        <w:pageBreakBefore w:val="0"/>
        <w:widowControl w:val="0"/>
        <w:kinsoku/>
        <w:wordWrap/>
        <w:overflowPunct/>
        <w:topLinePunct w:val="0"/>
        <w:autoSpaceDE w:val="0"/>
        <w:autoSpaceDN w:val="0"/>
        <w:bidi w:val="0"/>
        <w:adjustRightInd w:val="0"/>
        <w:snapToGrid/>
        <w:spacing w:before="157" w:beforeLines="50" w:line="360" w:lineRule="auto"/>
        <w:ind w:left="0" w:leftChars="0" w:right="0" w:rightChars="0" w:firstLine="566" w:firstLineChars="236"/>
        <w:jc w:val="both"/>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兰州庄园牧场股份有限公司</w:t>
      </w:r>
      <w:r>
        <w:rPr>
          <w:rFonts w:hint="eastAsia" w:ascii="宋体" w:hAnsi="宋体" w:eastAsia="宋体" w:cs="宋体"/>
          <w:sz w:val="24"/>
          <w:szCs w:val="24"/>
          <w:lang w:eastAsia="zh-CN"/>
        </w:rPr>
        <w:t>（</w:t>
      </w:r>
      <w:r>
        <w:rPr>
          <w:rFonts w:ascii="宋体" w:hAnsi="宋体" w:eastAsia="宋体" w:cs="宋体"/>
          <w:sz w:val="24"/>
          <w:szCs w:val="24"/>
        </w:rPr>
        <w:t>以下简称“公司”或“</w:t>
      </w:r>
      <w:r>
        <w:rPr>
          <w:rFonts w:hint="eastAsia" w:ascii="宋体" w:hAnsi="宋体" w:eastAsia="宋体" w:cs="宋体"/>
          <w:sz w:val="24"/>
          <w:szCs w:val="24"/>
          <w:lang w:eastAsia="zh-CN"/>
        </w:rPr>
        <w:t>庄园牧场</w:t>
      </w:r>
      <w:r>
        <w:rPr>
          <w:rFonts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color w:val="000000"/>
          <w:sz w:val="24"/>
          <w:szCs w:val="24"/>
        </w:rPr>
        <w:t>于</w:t>
      </w:r>
      <w:r>
        <w:rPr>
          <w:rFonts w:hint="eastAsia" w:ascii="宋体" w:hAnsi="宋体" w:eastAsia="宋体" w:cs="宋体"/>
          <w:color w:val="000000"/>
          <w:sz w:val="24"/>
          <w:szCs w:val="24"/>
          <w:lang w:val="en-US" w:eastAsia="zh-CN"/>
        </w:rPr>
        <w:t>2018</w:t>
      </w:r>
      <w:r>
        <w:rPr>
          <w:rFonts w:hint="eastAsia" w:ascii="宋体" w:hAnsi="宋体" w:eastAsia="宋体" w:cs="宋体"/>
          <w:color w:val="000000"/>
          <w:sz w:val="24"/>
          <w:szCs w:val="24"/>
        </w:rPr>
        <w:t>年</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月</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日召开的</w:t>
      </w:r>
      <w:r>
        <w:rPr>
          <w:rFonts w:hint="eastAsia" w:ascii="宋体" w:hAnsi="宋体" w:eastAsia="宋体" w:cs="宋体"/>
          <w:color w:val="000000"/>
          <w:sz w:val="24"/>
          <w:szCs w:val="24"/>
          <w:lang w:val="en-US" w:eastAsia="zh-CN"/>
        </w:rPr>
        <w:t>2018年第一次</w:t>
      </w:r>
      <w:r>
        <w:rPr>
          <w:rFonts w:hint="eastAsia" w:ascii="宋体" w:hAnsi="宋体" w:eastAsia="宋体" w:cs="宋体"/>
          <w:color w:val="000000"/>
          <w:sz w:val="24"/>
          <w:szCs w:val="24"/>
        </w:rPr>
        <w:t>董事会审议通过了《关于聘任毕马威华振会计师事务所（特殊普通合伙）为公司2017年度审计机构的议案》，同意</w:t>
      </w:r>
      <w:r>
        <w:rPr>
          <w:rFonts w:hint="eastAsia" w:ascii="宋体" w:hAnsi="宋体" w:eastAsia="宋体" w:cs="宋体"/>
          <w:color w:val="000000"/>
          <w:sz w:val="24"/>
          <w:szCs w:val="24"/>
          <w:u w:val="none"/>
        </w:rPr>
        <w:t>终止聘任</w:t>
      </w:r>
      <w:r>
        <w:rPr>
          <w:rFonts w:hint="eastAsia" w:ascii="宋体" w:hAnsi="宋体" w:eastAsia="宋体" w:cs="宋体"/>
          <w:color w:val="000000"/>
          <w:sz w:val="24"/>
          <w:szCs w:val="24"/>
          <w:u w:val="none"/>
          <w:lang w:val="en-US" w:eastAsia="zh-CN"/>
        </w:rPr>
        <w:t>2017年度境外核数师</w:t>
      </w:r>
      <w:r>
        <w:rPr>
          <w:rFonts w:hint="eastAsia" w:cs="宋体"/>
          <w:color w:val="000000"/>
          <w:sz w:val="24"/>
          <w:szCs w:val="24"/>
          <w:u w:val="none"/>
          <w:lang w:val="en-US" w:eastAsia="zh-CN"/>
        </w:rPr>
        <w:t>“</w:t>
      </w:r>
      <w:r>
        <w:rPr>
          <w:rFonts w:hint="eastAsia" w:ascii="宋体" w:hAnsi="宋体" w:eastAsia="宋体" w:cs="宋体"/>
          <w:color w:val="000000"/>
          <w:sz w:val="24"/>
          <w:szCs w:val="24"/>
          <w:u w:val="none"/>
        </w:rPr>
        <w:t>毕马威会计师事务所</w:t>
      </w:r>
      <w:r>
        <w:rPr>
          <w:rFonts w:hint="eastAsia" w:cs="宋体"/>
          <w:color w:val="000000"/>
          <w:sz w:val="24"/>
          <w:szCs w:val="24"/>
          <w:u w:val="none"/>
          <w:lang w:eastAsia="zh-CN"/>
        </w:rPr>
        <w:t>”</w:t>
      </w:r>
      <w:r>
        <w:rPr>
          <w:rFonts w:hint="eastAsia" w:ascii="宋体" w:hAnsi="宋体" w:eastAsia="宋体" w:cs="宋体"/>
          <w:color w:val="000000"/>
          <w:sz w:val="24"/>
          <w:szCs w:val="24"/>
          <w:u w:val="none"/>
        </w:rPr>
        <w:t>，并聘任</w:t>
      </w:r>
      <w:r>
        <w:rPr>
          <w:rFonts w:hint="eastAsia" w:cs="宋体"/>
          <w:color w:val="000000"/>
          <w:sz w:val="24"/>
          <w:szCs w:val="24"/>
          <w:u w:val="none"/>
          <w:lang w:eastAsia="zh-CN"/>
        </w:rPr>
        <w:t>“</w:t>
      </w:r>
      <w:r>
        <w:rPr>
          <w:rFonts w:hint="eastAsia" w:ascii="宋体" w:hAnsi="宋体" w:eastAsia="宋体" w:cs="宋体"/>
          <w:color w:val="000000"/>
          <w:sz w:val="24"/>
          <w:szCs w:val="24"/>
          <w:u w:val="none"/>
        </w:rPr>
        <w:t>毕马威华振会计师事务所（特殊普通合伙）</w:t>
      </w:r>
      <w:r>
        <w:rPr>
          <w:rFonts w:hint="eastAsia" w:cs="宋体"/>
          <w:color w:val="000000"/>
          <w:sz w:val="24"/>
          <w:szCs w:val="24"/>
          <w:u w:val="none"/>
          <w:lang w:eastAsia="zh-CN"/>
        </w:rPr>
        <w:t>”</w:t>
      </w:r>
      <w:r>
        <w:rPr>
          <w:rFonts w:hint="eastAsia" w:ascii="宋体" w:hAnsi="宋体" w:eastAsia="宋体" w:cs="宋体"/>
          <w:color w:val="000000"/>
          <w:sz w:val="24"/>
          <w:szCs w:val="24"/>
          <w:u w:val="none"/>
        </w:rPr>
        <w:t>为本公司2017年度的审计机构，任期直至本公司2017年股东周年大会结束为止</w:t>
      </w:r>
      <w:r>
        <w:rPr>
          <w:rFonts w:hint="eastAsia" w:ascii="宋体" w:hAnsi="宋体" w:eastAsia="宋体" w:cs="宋体"/>
          <w:color w:val="000000"/>
          <w:sz w:val="24"/>
          <w:szCs w:val="24"/>
          <w:u w:val="none"/>
          <w:lang w:eastAsia="zh-CN"/>
        </w:rPr>
        <w:t>，</w:t>
      </w:r>
      <w:r>
        <w:rPr>
          <w:rFonts w:hint="eastAsia" w:ascii="宋体" w:hAnsi="宋体" w:eastAsia="宋体" w:cs="宋体"/>
          <w:color w:val="000000"/>
          <w:sz w:val="24"/>
          <w:szCs w:val="24"/>
          <w:u w:val="none"/>
        </w:rPr>
        <w:t>负</w:t>
      </w:r>
      <w:r>
        <w:rPr>
          <w:rFonts w:hint="eastAsia" w:ascii="宋体" w:hAnsi="宋体" w:eastAsia="宋体" w:cs="宋体"/>
          <w:color w:val="000000"/>
          <w:sz w:val="24"/>
          <w:szCs w:val="24"/>
        </w:rPr>
        <w:t>责公司</w:t>
      </w:r>
      <w:r>
        <w:rPr>
          <w:rFonts w:hint="eastAsia" w:ascii="宋体" w:hAnsi="宋体" w:eastAsia="宋体" w:cs="宋体"/>
          <w:color w:val="000000"/>
          <w:sz w:val="24"/>
          <w:szCs w:val="24"/>
          <w:lang w:val="en-US" w:eastAsia="zh-CN"/>
        </w:rPr>
        <w:t>2017</w:t>
      </w:r>
      <w:r>
        <w:rPr>
          <w:rFonts w:hint="eastAsia" w:ascii="宋体" w:hAnsi="宋体" w:eastAsia="宋体" w:cs="宋体"/>
          <w:color w:val="000000"/>
          <w:sz w:val="24"/>
          <w:szCs w:val="24"/>
        </w:rPr>
        <w:t>年年度审计工作。</w:t>
      </w:r>
    </w:p>
    <w:p>
      <w:pPr>
        <w:keepNext w:val="0"/>
        <w:keepLines w:val="0"/>
        <w:pageBreakBefore w:val="0"/>
        <w:widowControl w:val="0"/>
        <w:numPr>
          <w:ilvl w:val="0"/>
          <w:numId w:val="1"/>
        </w:numPr>
        <w:kinsoku/>
        <w:wordWrap/>
        <w:overflowPunct/>
        <w:topLinePunct w:val="0"/>
        <w:autoSpaceDE w:val="0"/>
        <w:autoSpaceDN w:val="0"/>
        <w:bidi w:val="0"/>
        <w:adjustRightInd w:val="0"/>
        <w:snapToGrid/>
        <w:spacing w:before="157" w:beforeLines="50" w:line="360" w:lineRule="auto"/>
        <w:ind w:left="0" w:leftChars="0" w:right="0" w:rightChars="0" w:firstLine="569" w:firstLineChars="236"/>
        <w:jc w:val="both"/>
        <w:textAlignment w:val="auto"/>
        <w:outlineLvl w:val="9"/>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变更会计师事务所的原因说明</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157" w:beforeLines="50" w:line="360" w:lineRule="auto"/>
        <w:ind w:left="0" w:leftChars="0" w:right="0" w:rightChars="0" w:firstLine="480" w:firstLineChars="200"/>
        <w:jc w:val="both"/>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根据香港联合交易所有限公司（以下简称“香港联交所”）于2010年12月刊发的《有关接收在香港上市的内地注册成立公司采用内地的会计及审计准则以及聘用内地会计师事务所的咨询总结》以及香港联交所上市规则的相关修订，在香港上市的内地注册成立的发行人获准许采用内地会计准则编制其财务报表；经中国财政部及中国证券监督管理委员会推荐及认可，并同时被香港交易所接纳的内地会计师事务所准许采用内地审计准则为上述发行人提供服务。</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157" w:beforeLines="50" w:line="360" w:lineRule="auto"/>
        <w:ind w:left="0" w:leftChars="0" w:right="0" w:rightChars="0" w:firstLine="480" w:firstLineChars="200"/>
        <w:jc w:val="both"/>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鉴于公司目前已完成首次公开发行A股并上市工作，公司已成为在香港及内地同时上市的A+H股发行人。根据上述条例的规定，本公司</w:t>
      </w:r>
      <w:r>
        <w:rPr>
          <w:rFonts w:hint="eastAsia" w:ascii="宋体" w:hAnsi="宋体" w:eastAsia="宋体" w:cs="宋体"/>
          <w:color w:val="000000"/>
          <w:sz w:val="24"/>
          <w:szCs w:val="24"/>
          <w:lang w:eastAsia="zh-CN"/>
        </w:rPr>
        <w:t>决定</w:t>
      </w:r>
      <w:r>
        <w:rPr>
          <w:rFonts w:hint="eastAsia" w:ascii="宋体" w:hAnsi="宋体" w:eastAsia="宋体" w:cs="宋体"/>
          <w:color w:val="000000"/>
          <w:sz w:val="24"/>
          <w:szCs w:val="24"/>
        </w:rPr>
        <w:t>终止聘任</w:t>
      </w:r>
      <w:r>
        <w:rPr>
          <w:rFonts w:hint="eastAsia" w:ascii="宋体" w:hAnsi="宋体" w:eastAsia="宋体" w:cs="宋体"/>
          <w:color w:val="000000"/>
          <w:sz w:val="24"/>
          <w:szCs w:val="24"/>
          <w:u w:val="none"/>
          <w:lang w:val="en-US" w:eastAsia="zh-CN"/>
        </w:rPr>
        <w:t>2017年度境外核数师</w:t>
      </w:r>
      <w:r>
        <w:rPr>
          <w:rFonts w:hint="eastAsia" w:ascii="宋体" w:hAnsi="宋体" w:eastAsia="宋体" w:cs="宋体"/>
          <w:color w:val="000000"/>
          <w:sz w:val="24"/>
          <w:szCs w:val="24"/>
        </w:rPr>
        <w:t>毕马威会计师事务所，并聘任毕马威华振会计师事务所（特殊普通合伙）为本公司2017年度的审计机构，任期直至本公司2017年股东周年大会结束为止。公司在深圳证券交易所和香港</w:t>
      </w:r>
      <w:r>
        <w:rPr>
          <w:rFonts w:hint="eastAsia" w:ascii="宋体" w:hAnsi="宋体" w:eastAsia="宋体" w:cs="宋体"/>
          <w:color w:val="000000"/>
          <w:sz w:val="24"/>
          <w:szCs w:val="24"/>
          <w:lang w:eastAsia="zh-CN"/>
        </w:rPr>
        <w:t>联交</w:t>
      </w:r>
      <w:r>
        <w:rPr>
          <w:rFonts w:hint="eastAsia" w:ascii="宋体" w:hAnsi="宋体" w:eastAsia="宋体" w:cs="宋体"/>
          <w:color w:val="000000"/>
          <w:sz w:val="24"/>
          <w:szCs w:val="24"/>
        </w:rPr>
        <w:t>所披露的2017年年度报告和财务资料均按照中国企业会计准则编制。</w:t>
      </w:r>
    </w:p>
    <w:p>
      <w:pPr>
        <w:keepNext w:val="0"/>
        <w:keepLines w:val="0"/>
        <w:pageBreakBefore w:val="0"/>
        <w:widowControl w:val="0"/>
        <w:numPr>
          <w:ilvl w:val="0"/>
          <w:numId w:val="1"/>
        </w:numPr>
        <w:kinsoku/>
        <w:wordWrap/>
        <w:overflowPunct/>
        <w:topLinePunct w:val="0"/>
        <w:autoSpaceDE w:val="0"/>
        <w:autoSpaceDN w:val="0"/>
        <w:bidi w:val="0"/>
        <w:adjustRightInd w:val="0"/>
        <w:snapToGrid/>
        <w:spacing w:before="157" w:beforeLines="50" w:line="360" w:lineRule="auto"/>
        <w:ind w:left="0" w:leftChars="0" w:right="0" w:rightChars="0" w:firstLine="569" w:firstLineChars="236"/>
        <w:jc w:val="both"/>
        <w:textAlignment w:val="auto"/>
        <w:outlineLvl w:val="9"/>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变更会计师事务所的</w:t>
      </w:r>
      <w:r>
        <w:rPr>
          <w:rFonts w:hint="eastAsia" w:ascii="宋体" w:hAnsi="宋体" w:eastAsia="宋体" w:cs="宋体"/>
          <w:b/>
          <w:bCs/>
          <w:color w:val="000000"/>
          <w:sz w:val="24"/>
          <w:szCs w:val="24"/>
          <w:lang w:eastAsia="zh-CN"/>
        </w:rPr>
        <w:t>审议情况</w:t>
      </w:r>
    </w:p>
    <w:p>
      <w:pPr>
        <w:keepNext w:val="0"/>
        <w:keepLines w:val="0"/>
        <w:pageBreakBefore w:val="0"/>
        <w:widowControl w:val="0"/>
        <w:numPr>
          <w:ilvl w:val="0"/>
          <w:numId w:val="2"/>
        </w:numPr>
        <w:kinsoku/>
        <w:wordWrap/>
        <w:overflowPunct/>
        <w:topLinePunct w:val="0"/>
        <w:autoSpaceDE w:val="0"/>
        <w:autoSpaceDN w:val="0"/>
        <w:bidi w:val="0"/>
        <w:adjustRightInd w:val="0"/>
        <w:snapToGrid/>
        <w:spacing w:before="157" w:beforeLines="50" w:line="360" w:lineRule="auto"/>
        <w:ind w:left="0" w:leftChars="0" w:right="0" w:rightChars="0" w:firstLine="566" w:firstLineChars="236"/>
        <w:jc w:val="both"/>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公司于</w:t>
      </w:r>
      <w:r>
        <w:rPr>
          <w:rFonts w:hint="eastAsia" w:ascii="宋体" w:hAnsi="宋体" w:eastAsia="宋体" w:cs="宋体"/>
          <w:color w:val="000000"/>
          <w:sz w:val="24"/>
          <w:szCs w:val="24"/>
          <w:lang w:val="en-US" w:eastAsia="zh-CN"/>
        </w:rPr>
        <w:t>2018</w:t>
      </w:r>
      <w:r>
        <w:rPr>
          <w:rFonts w:hint="eastAsia" w:ascii="宋体" w:hAnsi="宋体" w:eastAsia="宋体" w:cs="宋体"/>
          <w:color w:val="000000"/>
          <w:sz w:val="24"/>
          <w:szCs w:val="24"/>
        </w:rPr>
        <w:t>年</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月</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日召开的</w:t>
      </w:r>
      <w:r>
        <w:rPr>
          <w:rFonts w:hint="eastAsia" w:ascii="宋体" w:hAnsi="宋体" w:eastAsia="宋体" w:cs="宋体"/>
          <w:color w:val="000000"/>
          <w:sz w:val="24"/>
          <w:szCs w:val="24"/>
          <w:lang w:val="en-US" w:eastAsia="zh-CN"/>
        </w:rPr>
        <w:t>2018年第一次</w:t>
      </w:r>
      <w:r>
        <w:rPr>
          <w:rFonts w:hint="eastAsia" w:ascii="宋体" w:hAnsi="宋体" w:eastAsia="宋体" w:cs="宋体"/>
          <w:color w:val="000000"/>
          <w:sz w:val="24"/>
          <w:szCs w:val="24"/>
        </w:rPr>
        <w:t>董事会会议审议通过了《关于聘任毕马威华振会计师事务所（特殊普通合伙）为公司2017年度审计机构的议案》，同意</w:t>
      </w:r>
      <w:r>
        <w:rPr>
          <w:rFonts w:hint="eastAsia" w:ascii="宋体" w:hAnsi="宋体" w:eastAsia="宋体" w:cs="宋体"/>
          <w:color w:val="000000"/>
          <w:sz w:val="24"/>
          <w:szCs w:val="24"/>
          <w:u w:val="none"/>
        </w:rPr>
        <w:t>终止聘任</w:t>
      </w:r>
      <w:r>
        <w:rPr>
          <w:rFonts w:hint="eastAsia" w:ascii="宋体" w:hAnsi="宋体" w:eastAsia="宋体" w:cs="宋体"/>
          <w:color w:val="000000"/>
          <w:sz w:val="24"/>
          <w:szCs w:val="24"/>
          <w:u w:val="none"/>
          <w:lang w:val="en-US" w:eastAsia="zh-CN"/>
        </w:rPr>
        <w:t>2017年度境外核数师</w:t>
      </w:r>
      <w:r>
        <w:rPr>
          <w:rFonts w:hint="eastAsia" w:ascii="宋体" w:hAnsi="宋体" w:eastAsia="宋体" w:cs="宋体"/>
          <w:color w:val="000000"/>
          <w:sz w:val="24"/>
          <w:szCs w:val="24"/>
          <w:u w:val="none"/>
        </w:rPr>
        <w:t>毕马威会计师事务所，并聘任毕马威华振会计师事务所（特殊普通合伙）为本公司2017年度的审计机构，任期直至本公司2017年股东周年大会结束为止</w:t>
      </w:r>
      <w:r>
        <w:rPr>
          <w:rFonts w:hint="eastAsia" w:ascii="宋体" w:hAnsi="宋体" w:eastAsia="宋体" w:cs="宋体"/>
          <w:color w:val="000000"/>
          <w:sz w:val="24"/>
          <w:szCs w:val="24"/>
          <w:u w:val="none"/>
          <w:lang w:eastAsia="zh-CN"/>
        </w:rPr>
        <w:t>，</w:t>
      </w:r>
      <w:r>
        <w:rPr>
          <w:rFonts w:hint="eastAsia" w:ascii="宋体" w:hAnsi="宋体" w:eastAsia="宋体" w:cs="宋体"/>
          <w:color w:val="000000"/>
          <w:sz w:val="24"/>
          <w:szCs w:val="24"/>
          <w:u w:val="none"/>
        </w:rPr>
        <w:t>负</w:t>
      </w:r>
      <w:r>
        <w:rPr>
          <w:rFonts w:hint="eastAsia" w:ascii="宋体" w:hAnsi="宋体" w:eastAsia="宋体" w:cs="宋体"/>
          <w:color w:val="000000"/>
          <w:sz w:val="24"/>
          <w:szCs w:val="24"/>
        </w:rPr>
        <w:t>责公司</w:t>
      </w:r>
      <w:r>
        <w:rPr>
          <w:rFonts w:hint="eastAsia" w:ascii="宋体" w:hAnsi="宋体" w:eastAsia="宋体" w:cs="宋体"/>
          <w:color w:val="000000"/>
          <w:sz w:val="24"/>
          <w:szCs w:val="24"/>
          <w:lang w:val="en-US" w:eastAsia="zh-CN"/>
        </w:rPr>
        <w:t>2017</w:t>
      </w:r>
      <w:r>
        <w:rPr>
          <w:rFonts w:hint="eastAsia" w:ascii="宋体" w:hAnsi="宋体" w:eastAsia="宋体" w:cs="宋体"/>
          <w:color w:val="000000"/>
          <w:sz w:val="24"/>
          <w:szCs w:val="24"/>
        </w:rPr>
        <w:t>年年度审计工作。</w:t>
      </w:r>
    </w:p>
    <w:p>
      <w:pPr>
        <w:keepNext w:val="0"/>
        <w:keepLines w:val="0"/>
        <w:pageBreakBefore w:val="0"/>
        <w:widowControl w:val="0"/>
        <w:numPr>
          <w:ilvl w:val="0"/>
          <w:numId w:val="2"/>
        </w:numPr>
        <w:kinsoku/>
        <w:wordWrap/>
        <w:overflowPunct/>
        <w:topLinePunct w:val="0"/>
        <w:autoSpaceDE w:val="0"/>
        <w:autoSpaceDN w:val="0"/>
        <w:bidi w:val="0"/>
        <w:adjustRightInd w:val="0"/>
        <w:snapToGrid/>
        <w:spacing w:before="157" w:beforeLines="50" w:line="360" w:lineRule="auto"/>
        <w:ind w:left="0" w:leftChars="0" w:right="0" w:rightChars="0" w:firstLine="566" w:firstLineChars="236"/>
        <w:jc w:val="both"/>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公司于</w:t>
      </w:r>
      <w:r>
        <w:rPr>
          <w:rFonts w:hint="eastAsia" w:ascii="宋体" w:hAnsi="宋体" w:eastAsia="宋体" w:cs="宋体"/>
          <w:color w:val="000000"/>
          <w:sz w:val="24"/>
          <w:szCs w:val="24"/>
          <w:lang w:val="en-US" w:eastAsia="zh-CN"/>
        </w:rPr>
        <w:t>2018</w:t>
      </w:r>
      <w:r>
        <w:rPr>
          <w:rFonts w:hint="eastAsia" w:ascii="宋体" w:hAnsi="宋体" w:eastAsia="宋体" w:cs="宋体"/>
          <w:color w:val="000000"/>
          <w:sz w:val="24"/>
          <w:szCs w:val="24"/>
        </w:rPr>
        <w:t>年</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月</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日召开的</w:t>
      </w:r>
      <w:r>
        <w:rPr>
          <w:rFonts w:hint="eastAsia" w:ascii="宋体" w:hAnsi="宋体" w:eastAsia="宋体" w:cs="宋体"/>
          <w:color w:val="000000"/>
          <w:sz w:val="24"/>
          <w:szCs w:val="24"/>
          <w:lang w:val="en-US" w:eastAsia="zh-CN"/>
        </w:rPr>
        <w:t>第二届监事会第七次</w:t>
      </w:r>
      <w:r>
        <w:rPr>
          <w:rFonts w:hint="eastAsia" w:ascii="宋体" w:hAnsi="宋体" w:eastAsia="宋体" w:cs="宋体"/>
          <w:color w:val="000000"/>
          <w:sz w:val="24"/>
          <w:szCs w:val="24"/>
        </w:rPr>
        <w:t>会议审议通过了《关于聘任毕马威华振会计师事务所（特殊普通合伙）为公司2017年度审计机构的议案》，同意</w:t>
      </w:r>
      <w:r>
        <w:rPr>
          <w:rFonts w:hint="eastAsia" w:ascii="宋体" w:hAnsi="宋体" w:eastAsia="宋体" w:cs="宋体"/>
          <w:color w:val="000000"/>
          <w:sz w:val="24"/>
          <w:szCs w:val="24"/>
          <w:u w:val="none"/>
        </w:rPr>
        <w:t>终止聘任</w:t>
      </w:r>
      <w:r>
        <w:rPr>
          <w:rFonts w:hint="eastAsia" w:ascii="宋体" w:hAnsi="宋体" w:eastAsia="宋体" w:cs="宋体"/>
          <w:color w:val="000000"/>
          <w:sz w:val="24"/>
          <w:szCs w:val="24"/>
          <w:u w:val="none"/>
          <w:lang w:val="en-US" w:eastAsia="zh-CN"/>
        </w:rPr>
        <w:t>2017年度境外核数师</w:t>
      </w:r>
      <w:r>
        <w:rPr>
          <w:rFonts w:hint="eastAsia" w:ascii="宋体" w:hAnsi="宋体" w:eastAsia="宋体" w:cs="宋体"/>
          <w:color w:val="000000"/>
          <w:sz w:val="24"/>
          <w:szCs w:val="24"/>
          <w:u w:val="none"/>
        </w:rPr>
        <w:t>毕马威会计师事务所，并聘任毕马威华振会计师事务所（特殊普通合伙）为本公司2017年度的审计机构，任期直至本公司2017年股东周年大会结束为止</w:t>
      </w:r>
      <w:r>
        <w:rPr>
          <w:rFonts w:hint="eastAsia" w:ascii="宋体" w:hAnsi="宋体" w:eastAsia="宋体" w:cs="宋体"/>
          <w:color w:val="000000"/>
          <w:sz w:val="24"/>
          <w:szCs w:val="24"/>
          <w:u w:val="none"/>
          <w:lang w:eastAsia="zh-CN"/>
        </w:rPr>
        <w:t>，</w:t>
      </w:r>
      <w:r>
        <w:rPr>
          <w:rFonts w:hint="eastAsia" w:ascii="宋体" w:hAnsi="宋体" w:eastAsia="宋体" w:cs="宋体"/>
          <w:color w:val="000000"/>
          <w:sz w:val="24"/>
          <w:szCs w:val="24"/>
          <w:u w:val="none"/>
        </w:rPr>
        <w:t>负</w:t>
      </w:r>
      <w:r>
        <w:rPr>
          <w:rFonts w:hint="eastAsia" w:ascii="宋体" w:hAnsi="宋体" w:eastAsia="宋体" w:cs="宋体"/>
          <w:color w:val="000000"/>
          <w:sz w:val="24"/>
          <w:szCs w:val="24"/>
        </w:rPr>
        <w:t>责公司</w:t>
      </w:r>
      <w:r>
        <w:rPr>
          <w:rFonts w:hint="eastAsia" w:ascii="宋体" w:hAnsi="宋体" w:eastAsia="宋体" w:cs="宋体"/>
          <w:color w:val="000000"/>
          <w:sz w:val="24"/>
          <w:szCs w:val="24"/>
          <w:lang w:val="en-US" w:eastAsia="zh-CN"/>
        </w:rPr>
        <w:t>2017</w:t>
      </w:r>
      <w:r>
        <w:rPr>
          <w:rFonts w:hint="eastAsia" w:ascii="宋体" w:hAnsi="宋体" w:eastAsia="宋体" w:cs="宋体"/>
          <w:color w:val="000000"/>
          <w:sz w:val="24"/>
          <w:szCs w:val="24"/>
        </w:rPr>
        <w:t>年年度审计工作。</w:t>
      </w:r>
    </w:p>
    <w:p>
      <w:pPr>
        <w:keepNext w:val="0"/>
        <w:keepLines w:val="0"/>
        <w:pageBreakBefore w:val="0"/>
        <w:widowControl w:val="0"/>
        <w:numPr>
          <w:ilvl w:val="0"/>
          <w:numId w:val="2"/>
        </w:numPr>
        <w:kinsoku/>
        <w:wordWrap/>
        <w:overflowPunct/>
        <w:topLinePunct w:val="0"/>
        <w:autoSpaceDE w:val="0"/>
        <w:autoSpaceDN w:val="0"/>
        <w:bidi w:val="0"/>
        <w:adjustRightInd w:val="0"/>
        <w:snapToGrid/>
        <w:spacing w:before="157" w:beforeLines="50" w:line="360" w:lineRule="auto"/>
        <w:ind w:left="0" w:leftChars="0" w:right="0" w:rightChars="0" w:firstLine="566" w:firstLineChars="236"/>
        <w:jc w:val="both"/>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经公司独立董事认可，并对此事项发表了以下独立意见</w:t>
      </w:r>
      <w:r>
        <w:rPr>
          <w:rFonts w:hint="eastAsia" w:cs="宋体"/>
          <w:color w:val="000000"/>
          <w:sz w:val="24"/>
          <w:szCs w:val="24"/>
          <w:lang w:eastAsia="zh-CN"/>
        </w:rPr>
        <w:t>：</w:t>
      </w:r>
    </w:p>
    <w:p>
      <w:pPr>
        <w:keepNext w:val="0"/>
        <w:keepLines w:val="0"/>
        <w:pageBreakBefore w:val="0"/>
        <w:widowControl w:val="0"/>
        <w:numPr>
          <w:ilvl w:val="0"/>
          <w:numId w:val="3"/>
        </w:numPr>
        <w:kinsoku/>
        <w:wordWrap/>
        <w:overflowPunct/>
        <w:topLinePunct w:val="0"/>
        <w:autoSpaceDE w:val="0"/>
        <w:autoSpaceDN w:val="0"/>
        <w:bidi w:val="0"/>
        <w:adjustRightInd w:val="0"/>
        <w:snapToGrid/>
        <w:spacing w:before="157" w:beforeLines="50" w:line="360" w:lineRule="auto"/>
        <w:ind w:leftChars="236" w:right="0" w:rightChars="0"/>
        <w:jc w:val="both"/>
        <w:textAlignment w:val="auto"/>
        <w:outlineLvl w:val="9"/>
        <w:rPr>
          <w:rFonts w:hint="eastAsia"/>
          <w:sz w:val="24"/>
          <w:szCs w:val="24"/>
          <w:lang w:eastAsia="zh-CN"/>
        </w:rPr>
      </w:pPr>
      <w:r>
        <w:rPr>
          <w:rFonts w:hint="eastAsia" w:cs="宋体"/>
          <w:color w:val="000000"/>
          <w:sz w:val="24"/>
          <w:szCs w:val="24"/>
          <w:lang w:eastAsia="zh-CN"/>
        </w:rPr>
        <w:t>独立董事事前认可意见：</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157" w:beforeLines="50" w:line="360" w:lineRule="auto"/>
        <w:ind w:right="0" w:rightChars="0" w:firstLine="480" w:firstLineChars="200"/>
        <w:jc w:val="both"/>
        <w:textAlignment w:val="auto"/>
        <w:outlineLvl w:val="9"/>
        <w:rPr>
          <w:rFonts w:hint="eastAsia"/>
          <w:sz w:val="24"/>
          <w:szCs w:val="24"/>
          <w:lang w:eastAsia="zh-CN"/>
        </w:rPr>
      </w:pPr>
      <w:r>
        <w:rPr>
          <w:rFonts w:hint="eastAsia"/>
          <w:sz w:val="24"/>
          <w:szCs w:val="24"/>
          <w:lang w:eastAsia="zh-CN"/>
        </w:rPr>
        <w:t>独立董事认为，公司拟变更会计师事务所的审议程序符合有关法律、法规和《兰州庄园牧场股份有限公司章程》的规定；毕马威华振会计师事务所（特殊普通合伙）具备证券、期货相关业务执业资格，具备为上市公司提供审计服务的经验与能力，能够为公司提供真实公允的审计服务，满足公司2017年度财务和内部控制审计工作的要求；公司拟变更会计师事务所事项不存在损害公司及全体股东利益的情况，同意变更毕马威华振会计师事务所（特殊普通合伙）为公司2017年度审计机构，并将该议案提交公司2018年第一次董事会审议。</w:t>
      </w:r>
    </w:p>
    <w:p>
      <w:pPr>
        <w:keepNext w:val="0"/>
        <w:keepLines w:val="0"/>
        <w:pageBreakBefore w:val="0"/>
        <w:widowControl w:val="0"/>
        <w:numPr>
          <w:ilvl w:val="0"/>
          <w:numId w:val="3"/>
        </w:numPr>
        <w:kinsoku/>
        <w:wordWrap/>
        <w:overflowPunct/>
        <w:topLinePunct w:val="0"/>
        <w:autoSpaceDE w:val="0"/>
        <w:autoSpaceDN w:val="0"/>
        <w:bidi w:val="0"/>
        <w:adjustRightInd w:val="0"/>
        <w:snapToGrid/>
        <w:spacing w:before="157" w:beforeLines="50" w:line="360" w:lineRule="auto"/>
        <w:ind w:leftChars="236" w:right="0" w:rightChars="0"/>
        <w:jc w:val="both"/>
        <w:textAlignment w:val="auto"/>
        <w:outlineLvl w:val="9"/>
        <w:rPr>
          <w:rFonts w:hint="eastAsia"/>
          <w:sz w:val="24"/>
          <w:szCs w:val="24"/>
          <w:lang w:eastAsia="zh-CN"/>
        </w:rPr>
      </w:pPr>
      <w:r>
        <w:rPr>
          <w:rFonts w:hint="eastAsia"/>
          <w:sz w:val="24"/>
          <w:szCs w:val="24"/>
          <w:lang w:eastAsia="zh-CN"/>
        </w:rPr>
        <w:t>独立董事独立意见：</w:t>
      </w:r>
    </w:p>
    <w:p>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eastAsia" w:cs="宋体"/>
          <w:color w:val="000000"/>
          <w:sz w:val="24"/>
          <w:szCs w:val="24"/>
          <w:lang w:eastAsia="zh-CN"/>
        </w:rPr>
      </w:pPr>
      <w:r>
        <w:rPr>
          <w:rFonts w:hint="eastAsia"/>
          <w:sz w:val="24"/>
          <w:szCs w:val="24"/>
          <w:lang w:eastAsia="zh-CN"/>
        </w:rPr>
        <w:t>独立董事认为，公司拟变更会计师事务所的审议程序符合有关法律、法规和《兰州庄园牧场股份有限公司章程》的规定；毕马威华振会计师事务所（特殊普通合伙）具备证券、期货相关业务执业资格，具备为上市公司提供审计服务的经验与能力，能够为公司提供真实公允的审计服务，满足公司2017年度财务和内部控制审计工作的要求；公司拟变更会计师事务所事项不存在损害公司及全体股东利益的情况，同意变更毕马威华振会计师事务所（特殊普通合伙）为公司2017年度审计机构，</w:t>
      </w:r>
      <w:r>
        <w:rPr>
          <w:sz w:val="24"/>
          <w:szCs w:val="24"/>
        </w:rPr>
        <w:t>并将该议案提交公司股东大会审议。</w:t>
      </w:r>
    </w:p>
    <w:p>
      <w:pPr>
        <w:keepNext w:val="0"/>
        <w:keepLines w:val="0"/>
        <w:pageBreakBefore w:val="0"/>
        <w:widowControl w:val="0"/>
        <w:numPr>
          <w:ilvl w:val="0"/>
          <w:numId w:val="2"/>
        </w:numPr>
        <w:kinsoku/>
        <w:wordWrap/>
        <w:overflowPunct/>
        <w:topLinePunct w:val="0"/>
        <w:autoSpaceDE w:val="0"/>
        <w:autoSpaceDN w:val="0"/>
        <w:bidi w:val="0"/>
        <w:adjustRightInd w:val="0"/>
        <w:snapToGrid/>
        <w:spacing w:before="157" w:beforeLines="50" w:line="360" w:lineRule="auto"/>
        <w:ind w:left="0" w:leftChars="0" w:right="0" w:rightChars="0" w:firstLine="566" w:firstLineChars="236"/>
        <w:jc w:val="both"/>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本次议案尚需提交公司</w:t>
      </w:r>
      <w:r>
        <w:rPr>
          <w:rFonts w:hint="eastAsia" w:ascii="宋体" w:hAnsi="宋体" w:eastAsia="宋体" w:cs="宋体"/>
          <w:color w:val="000000"/>
          <w:sz w:val="24"/>
          <w:szCs w:val="24"/>
          <w:lang w:val="en-US" w:eastAsia="zh-CN"/>
        </w:rPr>
        <w:t>2018年第一次临时</w:t>
      </w:r>
      <w:r>
        <w:rPr>
          <w:rFonts w:hint="eastAsia" w:ascii="宋体" w:hAnsi="宋体" w:eastAsia="宋体" w:cs="宋体"/>
          <w:color w:val="000000"/>
          <w:sz w:val="24"/>
          <w:szCs w:val="24"/>
          <w:lang w:eastAsia="zh-CN"/>
        </w:rPr>
        <w:t>股东大会审议。</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157" w:beforeLines="50" w:line="360" w:lineRule="auto"/>
        <w:ind w:right="0" w:rightChars="0"/>
        <w:jc w:val="both"/>
        <w:textAlignment w:val="auto"/>
        <w:outlineLvl w:val="9"/>
        <w:rPr>
          <w:rFonts w:hint="eastAsia" w:cs="宋体"/>
          <w:b/>
          <w:bCs/>
          <w:color w:val="000000"/>
          <w:sz w:val="24"/>
          <w:szCs w:val="24"/>
          <w:lang w:eastAsia="zh-CN"/>
        </w:rPr>
      </w:pPr>
      <w:r>
        <w:rPr>
          <w:rFonts w:hint="eastAsia" w:cs="宋体"/>
          <w:b/>
          <w:bCs/>
          <w:color w:val="000000"/>
          <w:sz w:val="24"/>
          <w:szCs w:val="24"/>
          <w:lang w:eastAsia="zh-CN"/>
        </w:rPr>
        <w:t>三、备查文件</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157" w:beforeLines="50" w:line="360" w:lineRule="auto"/>
        <w:ind w:right="0" w:rightChars="0" w:firstLine="480" w:firstLineChars="200"/>
        <w:jc w:val="both"/>
        <w:textAlignment w:val="auto"/>
        <w:outlineLvl w:val="9"/>
        <w:rPr>
          <w:rFonts w:hint="eastAsia" w:cs="宋体"/>
          <w:b w:val="0"/>
          <w:bCs w:val="0"/>
          <w:color w:val="000000"/>
          <w:sz w:val="24"/>
          <w:szCs w:val="24"/>
          <w:lang w:val="en-US" w:eastAsia="zh-CN"/>
        </w:rPr>
      </w:pPr>
      <w:r>
        <w:rPr>
          <w:rFonts w:hint="eastAsia" w:cs="宋体"/>
          <w:b w:val="0"/>
          <w:bCs w:val="0"/>
          <w:color w:val="000000"/>
          <w:sz w:val="24"/>
          <w:szCs w:val="24"/>
          <w:lang w:val="en-US" w:eastAsia="zh-CN"/>
        </w:rPr>
        <w:t>1、公司2018年第一次董事会决议</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157" w:beforeLines="50" w:line="360" w:lineRule="auto"/>
        <w:ind w:right="0" w:rightChars="0" w:firstLine="480" w:firstLineChars="200"/>
        <w:jc w:val="both"/>
        <w:textAlignment w:val="auto"/>
        <w:outlineLvl w:val="9"/>
        <w:rPr>
          <w:rFonts w:hint="eastAsia" w:cs="宋体"/>
          <w:b w:val="0"/>
          <w:bCs w:val="0"/>
          <w:color w:val="000000"/>
          <w:sz w:val="24"/>
          <w:szCs w:val="24"/>
          <w:lang w:val="en-US" w:eastAsia="zh-CN"/>
        </w:rPr>
      </w:pPr>
      <w:r>
        <w:rPr>
          <w:rFonts w:hint="eastAsia" w:cs="宋体"/>
          <w:b w:val="0"/>
          <w:bCs w:val="0"/>
          <w:color w:val="000000"/>
          <w:sz w:val="24"/>
          <w:szCs w:val="24"/>
          <w:lang w:val="en-US" w:eastAsia="zh-CN"/>
        </w:rPr>
        <w:t>2、公司第二届监事会第七次会议决议</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157" w:beforeLines="50" w:line="360" w:lineRule="auto"/>
        <w:ind w:right="0" w:rightChars="0" w:firstLine="480" w:firstLineChars="200"/>
        <w:jc w:val="both"/>
        <w:textAlignment w:val="auto"/>
        <w:outlineLvl w:val="9"/>
        <w:rPr>
          <w:rFonts w:hint="eastAsia" w:cs="宋体"/>
          <w:b w:val="0"/>
          <w:bCs w:val="0"/>
          <w:color w:val="000000"/>
          <w:sz w:val="24"/>
          <w:szCs w:val="24"/>
          <w:lang w:val="en-US" w:eastAsia="zh-CN"/>
        </w:rPr>
      </w:pPr>
      <w:r>
        <w:rPr>
          <w:rFonts w:hint="eastAsia" w:cs="宋体"/>
          <w:b w:val="0"/>
          <w:bCs w:val="0"/>
          <w:color w:val="000000"/>
          <w:sz w:val="24"/>
          <w:szCs w:val="24"/>
          <w:lang w:val="en-US" w:eastAsia="zh-CN"/>
        </w:rPr>
        <w:t>3、独立董事关于聘任毕马威华振会计师事务所（特殊普通合伙）为公司2017年度审计机构的事前认可意见</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157" w:beforeLines="50" w:line="360" w:lineRule="auto"/>
        <w:ind w:right="0" w:rightChars="0" w:firstLine="480" w:firstLineChars="200"/>
        <w:jc w:val="both"/>
        <w:textAlignment w:val="auto"/>
        <w:outlineLvl w:val="9"/>
        <w:rPr>
          <w:rFonts w:hint="eastAsia" w:ascii="宋体" w:hAnsi="宋体" w:eastAsia="宋体" w:cs="宋体"/>
          <w:color w:val="000000"/>
          <w:sz w:val="24"/>
          <w:szCs w:val="24"/>
        </w:rPr>
      </w:pPr>
      <w:r>
        <w:rPr>
          <w:rFonts w:hint="eastAsia" w:cs="宋体"/>
          <w:b w:val="0"/>
          <w:bCs w:val="0"/>
          <w:color w:val="000000"/>
          <w:sz w:val="24"/>
          <w:szCs w:val="24"/>
          <w:lang w:val="en-US" w:eastAsia="zh-CN"/>
        </w:rPr>
        <w:t>4、独立董事关于聘任毕马威华振会计师事务所（特殊普通合伙）为公司2017年度审计机构的独立意见</w:t>
      </w:r>
    </w:p>
    <w:p>
      <w:pPr>
        <w:keepNext w:val="0"/>
        <w:keepLines w:val="0"/>
        <w:pageBreakBefore w:val="0"/>
        <w:widowControl w:val="0"/>
        <w:kinsoku/>
        <w:wordWrap/>
        <w:overflowPunct/>
        <w:topLinePunct w:val="0"/>
        <w:autoSpaceDE w:val="0"/>
        <w:autoSpaceDN w:val="0"/>
        <w:bidi w:val="0"/>
        <w:adjustRightInd w:val="0"/>
        <w:snapToGrid/>
        <w:spacing w:before="157" w:beforeLines="50" w:line="360" w:lineRule="auto"/>
        <w:ind w:left="0" w:leftChars="0" w:right="0" w:rightChars="0" w:firstLine="566" w:firstLineChars="236"/>
        <w:jc w:val="both"/>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特此公告</w:t>
      </w:r>
    </w:p>
    <w:p>
      <w:pPr>
        <w:keepNext w:val="0"/>
        <w:keepLines w:val="0"/>
        <w:pageBreakBefore w:val="0"/>
        <w:widowControl w:val="0"/>
        <w:kinsoku/>
        <w:wordWrap/>
        <w:overflowPunct/>
        <w:topLinePunct w:val="0"/>
        <w:autoSpaceDE w:val="0"/>
        <w:autoSpaceDN w:val="0"/>
        <w:bidi w:val="0"/>
        <w:adjustRightInd w:val="0"/>
        <w:snapToGrid/>
        <w:spacing w:before="157" w:beforeLines="50" w:line="360" w:lineRule="auto"/>
        <w:ind w:right="0" w:rightChars="0"/>
        <w:jc w:val="both"/>
        <w:textAlignment w:val="auto"/>
        <w:outlineLvl w:val="9"/>
        <w:rPr>
          <w:rFonts w:hint="eastAsia" w:ascii="宋体" w:hAnsi="宋体" w:eastAsia="宋体" w:cs="宋体"/>
          <w:color w:val="000000"/>
          <w:sz w:val="24"/>
          <w:szCs w:val="24"/>
        </w:rPr>
      </w:pPr>
    </w:p>
    <w:p>
      <w:pPr>
        <w:keepNext w:val="0"/>
        <w:keepLines w:val="0"/>
        <w:pageBreakBefore w:val="0"/>
        <w:widowControl w:val="0"/>
        <w:kinsoku/>
        <w:wordWrap/>
        <w:overflowPunct/>
        <w:topLinePunct w:val="0"/>
        <w:autoSpaceDE w:val="0"/>
        <w:autoSpaceDN w:val="0"/>
        <w:bidi w:val="0"/>
        <w:adjustRightInd w:val="0"/>
        <w:snapToGrid/>
        <w:spacing w:before="157" w:beforeLines="50" w:line="360" w:lineRule="auto"/>
        <w:ind w:right="0" w:rightChars="0"/>
        <w:jc w:val="both"/>
        <w:textAlignment w:val="auto"/>
        <w:outlineLvl w:val="9"/>
        <w:rPr>
          <w:rFonts w:hint="eastAsia" w:ascii="宋体" w:hAnsi="宋体" w:eastAsia="宋体" w:cs="宋体"/>
          <w:color w:val="000000"/>
          <w:sz w:val="24"/>
          <w:szCs w:val="24"/>
        </w:rPr>
      </w:pPr>
    </w:p>
    <w:p>
      <w:pPr>
        <w:keepNext w:val="0"/>
        <w:keepLines w:val="0"/>
        <w:pageBreakBefore w:val="0"/>
        <w:widowControl w:val="0"/>
        <w:kinsoku/>
        <w:wordWrap/>
        <w:overflowPunct/>
        <w:topLinePunct w:val="0"/>
        <w:autoSpaceDE w:val="0"/>
        <w:autoSpaceDN w:val="0"/>
        <w:bidi w:val="0"/>
        <w:adjustRightInd w:val="0"/>
        <w:snapToGrid/>
        <w:spacing w:before="157" w:beforeLines="50" w:line="360" w:lineRule="auto"/>
        <w:ind w:right="0" w:rightChars="0" w:firstLine="4320" w:firstLineChars="1800"/>
        <w:jc w:val="right"/>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兰州庄园牧场股份有限公</w:t>
      </w:r>
      <w:r>
        <w:rPr>
          <w:rFonts w:hint="eastAsia" w:cs="宋体"/>
          <w:color w:val="000000"/>
          <w:sz w:val="24"/>
          <w:szCs w:val="24"/>
          <w:lang w:eastAsia="zh-CN"/>
        </w:rPr>
        <w:t>司</w:t>
      </w:r>
      <w:r>
        <w:rPr>
          <w:rFonts w:hint="eastAsia" w:ascii="宋体" w:hAnsi="宋体" w:eastAsia="宋体" w:cs="宋体"/>
          <w:color w:val="000000"/>
          <w:sz w:val="24"/>
          <w:szCs w:val="24"/>
        </w:rPr>
        <w:t>董事会</w:t>
      </w:r>
    </w:p>
    <w:p>
      <w:pPr>
        <w:keepNext w:val="0"/>
        <w:keepLines w:val="0"/>
        <w:pageBreakBefore w:val="0"/>
        <w:widowControl w:val="0"/>
        <w:kinsoku/>
        <w:wordWrap/>
        <w:overflowPunct/>
        <w:topLinePunct w:val="0"/>
        <w:autoSpaceDE w:val="0"/>
        <w:autoSpaceDN w:val="0"/>
        <w:bidi w:val="0"/>
        <w:adjustRightInd w:val="0"/>
        <w:snapToGrid/>
        <w:spacing w:before="157" w:beforeLines="50" w:line="360" w:lineRule="auto"/>
        <w:ind w:left="0" w:leftChars="0" w:right="0" w:rightChars="0" w:firstLine="708" w:firstLineChars="295"/>
        <w:jc w:val="both"/>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 xml:space="preserve">                                         </w:t>
      </w:r>
      <w:r>
        <w:rPr>
          <w:rFonts w:hint="eastAsia" w:cs="宋体"/>
          <w:color w:val="000000"/>
          <w:sz w:val="24"/>
          <w:szCs w:val="24"/>
          <w:lang w:val="en-US" w:eastAsia="zh-CN"/>
        </w:rPr>
        <w:t xml:space="preserve">  </w:t>
      </w:r>
      <w:r>
        <w:rPr>
          <w:rFonts w:hint="eastAsia" w:ascii="宋体" w:hAnsi="宋体" w:eastAsia="宋体" w:cs="宋体"/>
          <w:color w:val="000000"/>
          <w:sz w:val="24"/>
          <w:szCs w:val="24"/>
          <w:lang w:val="en-US" w:eastAsia="zh-CN"/>
        </w:rPr>
        <w:t>2018</w:t>
      </w:r>
      <w:r>
        <w:rPr>
          <w:rFonts w:hint="eastAsia" w:ascii="宋体" w:hAnsi="宋体" w:eastAsia="宋体" w:cs="宋体"/>
          <w:color w:val="000000"/>
          <w:sz w:val="24"/>
          <w:szCs w:val="24"/>
        </w:rPr>
        <w:t>年</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月</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日</w:t>
      </w:r>
    </w:p>
    <w:p>
      <w:pPr>
        <w:keepNext w:val="0"/>
        <w:keepLines w:val="0"/>
        <w:pageBreakBefore w:val="0"/>
        <w:widowControl w:val="0"/>
        <w:kinsoku/>
        <w:wordWrap/>
        <w:overflowPunct/>
        <w:topLinePunct w:val="0"/>
        <w:bidi w:val="0"/>
        <w:snapToGrid/>
        <w:spacing w:before="157" w:beforeLines="50" w:line="360" w:lineRule="auto"/>
        <w:ind w:left="0" w:leftChars="0" w:right="0" w:rightChars="0"/>
        <w:jc w:val="both"/>
        <w:textAlignment w:val="auto"/>
        <w:outlineLvl w:val="9"/>
        <w:rPr>
          <w:rFonts w:hint="eastAsia" w:ascii="宋体" w:hAnsi="宋体" w:eastAsia="宋体" w:cs="宋体"/>
          <w:sz w:val="24"/>
          <w:szCs w:val="24"/>
        </w:rPr>
      </w:pPr>
    </w:p>
    <w:sectPr>
      <w:pgSz w:w="11906" w:h="16838"/>
      <w:pgMar w:top="1440" w:right="1800" w:bottom="1440" w:left="1800" w:header="851" w:footer="992" w:gutter="0"/>
      <w:cols w:space="425" w:num="1"/>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Helvetica">
    <w:altName w:val="Arial"/>
    <w:panose1 w:val="020B0604020202020204"/>
    <w:charset w:val="00"/>
    <w:family w:val="swiss"/>
    <w:pitch w:val="default"/>
    <w:sig w:usb0="00000000" w:usb1="00000000" w:usb2="00000009" w:usb3="00000000" w:csb0="000001FF" w:csb1="00000000"/>
  </w:font>
  <w:font w:name="Arial">
    <w:panose1 w:val="020B0604020202020204"/>
    <w:charset w:val="00"/>
    <w:family w:val="auto"/>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MingLiU">
    <w:panose1 w:val="02020509000000000000"/>
    <w:charset w:val="88"/>
    <w:family w:val="modern"/>
    <w:pitch w:val="default"/>
    <w:sig w:usb0="A00002FF" w:usb1="28CFFCFA" w:usb2="00000016" w:usb3="00000000" w:csb0="00100001" w:csb1="00000000"/>
  </w:font>
  <w:font w:name="方正楷体_GBK">
    <w:altName w:val="Arial Unicode MS"/>
    <w:panose1 w:val="00000000000000000000"/>
    <w:charset w:val="86"/>
    <w:family w:val="script"/>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roman"/>
    <w:pitch w:val="default"/>
    <w:sig w:usb0="00000000" w:usb1="00000000" w:usb2="00000000" w:usb3="00000000" w:csb0="00040001" w:csb1="00000000"/>
  </w:font>
  <w:font w:name="Microsoft YaHei UI">
    <w:altName w:val="宋体"/>
    <w:panose1 w:val="020B0503020204020204"/>
    <w:charset w:val="86"/>
    <w:family w:val="swiss"/>
    <w:pitch w:val="default"/>
    <w:sig w:usb0="00000000" w:usb1="00000000" w:usb2="00000016" w:usb3="00000000" w:csb0="0004001F" w:csb1="00000000"/>
  </w:font>
  <w:font w:name="等线">
    <w:altName w:val="宋体"/>
    <w:panose1 w:val="02010600030101010101"/>
    <w:charset w:val="86"/>
    <w:family w:val="auto"/>
    <w:pitch w:val="default"/>
    <w:sig w:usb0="00000000" w:usb1="00000000" w:usb2="00000016" w:usb3="00000000" w:csb0="0004000F" w:csb1="00000000"/>
  </w:font>
  <w:font w:name="FangSong_GB2312-Identity-H">
    <w:altName w:val="方正舒体"/>
    <w:panose1 w:val="00000000000000000000"/>
    <w:charset w:val="86"/>
    <w:family w:val="auto"/>
    <w:pitch w:val="default"/>
    <w:sig w:usb0="00000000" w:usb1="00000000" w:usb2="00000010" w:usb3="00000000" w:csb0="00040000" w:csb1="00000000"/>
  </w:font>
  <w:font w:name="TimesNewRomanPSMT">
    <w:altName w:val="Times New Roman"/>
    <w:panose1 w:val="00000000000000000000"/>
    <w:charset w:val="00"/>
    <w:family w:val="roman"/>
    <w:pitch w:val="default"/>
    <w:sig w:usb0="00000000" w:usb1="00000000" w:usb2="00000000" w:usb3="00000000" w:csb0="00000001" w:csb1="00000000"/>
  </w:font>
  <w:font w:name="FZHTK--GBK1-0">
    <w:altName w:val="宋体"/>
    <w:panose1 w:val="00000000000000000000"/>
    <w:charset w:val="86"/>
    <w:family w:val="auto"/>
    <w:pitch w:val="default"/>
    <w:sig w:usb0="00000000" w:usb1="00000000" w:usb2="00000010" w:usb3="00000000" w:csb0="00040000" w:csb1="00000000"/>
  </w:font>
  <w:font w:name="Arial Narrow">
    <w:panose1 w:val="020B0606020202030204"/>
    <w:charset w:val="00"/>
    <w:family w:val="swiss"/>
    <w:pitch w:val="default"/>
    <w:sig w:usb0="00000287" w:usb1="00000800" w:usb2="00000000" w:usb3="00000000" w:csb0="2000009F" w:csb1="DFD70000"/>
  </w:font>
  <w:font w:name="华文楷体">
    <w:panose1 w:val="02010600040101010101"/>
    <w:charset w:val="86"/>
    <w:family w:val="auto"/>
    <w:pitch w:val="default"/>
    <w:sig w:usb0="00000287" w:usb1="080F0000" w:usb2="00000000" w:usb3="00000000" w:csb0="0004009F" w:csb1="DFD70000"/>
  </w:font>
  <w:font w:name="PMingLiU">
    <w:panose1 w:val="02020500000000000000"/>
    <w:charset w:val="88"/>
    <w:family w:val="roman"/>
    <w:pitch w:val="default"/>
    <w:sig w:usb0="A00002FF" w:usb1="28CFFCFA" w:usb2="00000016" w:usb3="00000000" w:csb0="00100001" w:csb1="00000000"/>
  </w:font>
  <w:font w:name="方正舒体">
    <w:panose1 w:val="02010601030101010101"/>
    <w:charset w:val="86"/>
    <w:family w:val="auto"/>
    <w:pitch w:val="default"/>
    <w:sig w:usb0="00000003" w:usb1="080E0000" w:usb2="00000000" w:usb3="00000000" w:csb0="00040000"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2BCBF"/>
    <w:multiLevelType w:val="singleLevel"/>
    <w:tmpl w:val="5A72BCBF"/>
    <w:lvl w:ilvl="0" w:tentative="0">
      <w:start w:val="1"/>
      <w:numFmt w:val="chineseCounting"/>
      <w:suff w:val="nothing"/>
      <w:lvlText w:val="%1、"/>
      <w:lvlJc w:val="left"/>
    </w:lvl>
  </w:abstractNum>
  <w:abstractNum w:abstractNumId="1">
    <w:nsid w:val="5A72C604"/>
    <w:multiLevelType w:val="singleLevel"/>
    <w:tmpl w:val="5A72C604"/>
    <w:lvl w:ilvl="0" w:tentative="0">
      <w:start w:val="1"/>
      <w:numFmt w:val="decimal"/>
      <w:suff w:val="nothing"/>
      <w:lvlText w:val="%1、"/>
      <w:lvlJc w:val="left"/>
    </w:lvl>
  </w:abstractNum>
  <w:abstractNum w:abstractNumId="2">
    <w:nsid w:val="5A783D8D"/>
    <w:multiLevelType w:val="singleLevel"/>
    <w:tmpl w:val="5A783D8D"/>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117D"/>
    <w:rsid w:val="000803D3"/>
    <w:rsid w:val="000850A0"/>
    <w:rsid w:val="000A530E"/>
    <w:rsid w:val="000D20C0"/>
    <w:rsid w:val="001164C8"/>
    <w:rsid w:val="001626C2"/>
    <w:rsid w:val="001B1BD6"/>
    <w:rsid w:val="00256C0D"/>
    <w:rsid w:val="00316C86"/>
    <w:rsid w:val="00327FFE"/>
    <w:rsid w:val="00373A43"/>
    <w:rsid w:val="003A1875"/>
    <w:rsid w:val="005C255D"/>
    <w:rsid w:val="00644A21"/>
    <w:rsid w:val="006B62B0"/>
    <w:rsid w:val="00725734"/>
    <w:rsid w:val="007B1967"/>
    <w:rsid w:val="007E4429"/>
    <w:rsid w:val="00800BEC"/>
    <w:rsid w:val="00941AAC"/>
    <w:rsid w:val="009B4582"/>
    <w:rsid w:val="00A438D7"/>
    <w:rsid w:val="00B313D3"/>
    <w:rsid w:val="00B62913"/>
    <w:rsid w:val="00B94633"/>
    <w:rsid w:val="00C22FBC"/>
    <w:rsid w:val="00CA054A"/>
    <w:rsid w:val="00D33663"/>
    <w:rsid w:val="00D75ED5"/>
    <w:rsid w:val="00EC2064"/>
    <w:rsid w:val="00EF38A9"/>
    <w:rsid w:val="00F1117D"/>
    <w:rsid w:val="00F35604"/>
    <w:rsid w:val="00F85A75"/>
    <w:rsid w:val="00F97CBC"/>
    <w:rsid w:val="078D2EC0"/>
    <w:rsid w:val="0E21363C"/>
    <w:rsid w:val="146C5E6D"/>
    <w:rsid w:val="168265BE"/>
    <w:rsid w:val="1DF44265"/>
    <w:rsid w:val="1F67020B"/>
    <w:rsid w:val="20325274"/>
    <w:rsid w:val="320A2D39"/>
    <w:rsid w:val="338570CC"/>
    <w:rsid w:val="360A1627"/>
    <w:rsid w:val="3F3965EF"/>
    <w:rsid w:val="42AF15B4"/>
    <w:rsid w:val="4EE9560D"/>
    <w:rsid w:val="52BC5DE1"/>
    <w:rsid w:val="547C2B2C"/>
    <w:rsid w:val="56FD1177"/>
    <w:rsid w:val="58AB11FA"/>
    <w:rsid w:val="64ED201D"/>
    <w:rsid w:val="661D2822"/>
    <w:rsid w:val="67FB2FB5"/>
    <w:rsid w:val="69030186"/>
    <w:rsid w:val="777516B8"/>
    <w:rsid w:val="7D04150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kern w:val="2"/>
      <w:sz w:val="28"/>
      <w:szCs w:val="28"/>
      <w:lang w:val="en-US" w:eastAsia="zh-CN" w:bidi="ar-SA"/>
    </w:rPr>
  </w:style>
  <w:style w:type="character" w:default="1" w:styleId="5">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9"/>
    <w:unhideWhenUsed/>
    <w:qFormat/>
    <w:uiPriority w:val="99"/>
    <w:rPr>
      <w:sz w:val="18"/>
      <w:szCs w:val="18"/>
    </w:rPr>
  </w:style>
  <w:style w:type="paragraph" w:styleId="3">
    <w:name w:val="footer"/>
    <w:basedOn w:val="1"/>
    <w:link w:val="8"/>
    <w:semiHidden/>
    <w:uiPriority w:val="99"/>
    <w:pPr>
      <w:tabs>
        <w:tab w:val="center" w:pos="4153"/>
        <w:tab w:val="right" w:pos="8306"/>
      </w:tabs>
      <w:snapToGrid w:val="0"/>
      <w:jc w:val="left"/>
    </w:pPr>
    <w:rPr>
      <w:rFonts w:ascii="Calibri" w:hAnsi="Calibri" w:cs="Times New Roman"/>
      <w:kern w:val="0"/>
      <w:sz w:val="18"/>
      <w:szCs w:val="18"/>
    </w:rPr>
  </w:style>
  <w:style w:type="paragraph" w:styleId="4">
    <w:name w:val="header"/>
    <w:basedOn w:val="1"/>
    <w:link w:val="7"/>
    <w:semiHidden/>
    <w:qFormat/>
    <w:uiPriority w:val="99"/>
    <w:pPr>
      <w:pBdr>
        <w:bottom w:val="single" w:color="auto" w:sz="6" w:space="1"/>
      </w:pBdr>
      <w:tabs>
        <w:tab w:val="center" w:pos="4153"/>
        <w:tab w:val="right" w:pos="8306"/>
      </w:tabs>
      <w:snapToGrid w:val="0"/>
      <w:jc w:val="center"/>
    </w:pPr>
    <w:rPr>
      <w:rFonts w:ascii="Calibri" w:hAnsi="Calibri" w:cs="Times New Roman"/>
      <w:kern w:val="0"/>
      <w:sz w:val="18"/>
      <w:szCs w:val="18"/>
    </w:rPr>
  </w:style>
  <w:style w:type="character" w:customStyle="1" w:styleId="7">
    <w:name w:val="页眉 Char"/>
    <w:link w:val="4"/>
    <w:semiHidden/>
    <w:locked/>
    <w:uiPriority w:val="99"/>
    <w:rPr>
      <w:sz w:val="18"/>
      <w:szCs w:val="18"/>
    </w:rPr>
  </w:style>
  <w:style w:type="character" w:customStyle="1" w:styleId="8">
    <w:name w:val="页脚 Char"/>
    <w:link w:val="3"/>
    <w:semiHidden/>
    <w:qFormat/>
    <w:locked/>
    <w:uiPriority w:val="99"/>
    <w:rPr>
      <w:sz w:val="18"/>
      <w:szCs w:val="18"/>
    </w:rPr>
  </w:style>
  <w:style w:type="character" w:customStyle="1" w:styleId="9">
    <w:name w:val="批注框文本 Char"/>
    <w:link w:val="2"/>
    <w:semiHidden/>
    <w:qFormat/>
    <w:uiPriority w:val="99"/>
    <w:rPr>
      <w:rFonts w:ascii="宋体" w:hAnsi="宋体" w:cs="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9"/>
    <customShpInfo spid="_x0000_s1027"/>
    <customShpInfo spid="_x0000_s1026"/>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72</Words>
  <Characters>413</Characters>
  <Lines>3</Lines>
  <Paragraphs>1</Paragraphs>
  <ScaleCrop>false</ScaleCrop>
  <LinksUpToDate>false</LinksUpToDate>
  <CharactersWithSpaces>484</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2016-04-07T06:43:00Z</dcterms:created>
  <dc:creator>NTKO</dc:creator>
  <cp:lastModifiedBy>lailai </cp:lastModifiedBy>
  <dcterms:modified xsi:type="dcterms:W3CDTF">2018-02-05T11:15:11Z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