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980"/>
          <w:tab w:val="left" w:pos="6100"/>
        </w:tabs>
        <w:spacing w:line="239" w:lineRule="auto"/>
        <w:rPr>
          <w:b/>
          <w:bCs/>
          <w:sz w:val="23"/>
          <w:szCs w:val="23"/>
        </w:rPr>
      </w:pPr>
      <w:r>
        <w:rPr>
          <w:rFonts w:cs="宋体"/>
          <w:b/>
          <w:bCs/>
          <w:sz w:val="24"/>
          <w:lang w:val="zh-TW" w:eastAsia="zh-TW"/>
        </w:rPr>
        <w:t>证券代码：</w:t>
      </w:r>
      <w:r>
        <w:rPr>
          <w:rFonts w:ascii="Times New Roman" w:hAnsi="Times New Roman"/>
          <w:b/>
          <w:bCs/>
          <w:sz w:val="24"/>
        </w:rPr>
        <w:t>002910</w:t>
      </w:r>
      <w:r>
        <w:rPr>
          <w:b/>
          <w:bCs/>
        </w:rPr>
        <w:tab/>
      </w:r>
      <w:r>
        <w:rPr>
          <w:rFonts w:cs="宋体"/>
          <w:b/>
          <w:bCs/>
          <w:sz w:val="24"/>
          <w:lang w:val="zh-TW" w:eastAsia="zh-TW"/>
        </w:rPr>
        <w:t>证券简称：庄园牧场</w:t>
      </w:r>
      <w:r>
        <w:rPr>
          <w:b/>
          <w:bCs/>
        </w:rPr>
        <w:tab/>
      </w:r>
      <w:r>
        <w:rPr>
          <w:rFonts w:cs="宋体"/>
          <w:b/>
          <w:bCs/>
          <w:sz w:val="23"/>
          <w:szCs w:val="23"/>
          <w:lang w:val="zh-TW" w:eastAsia="zh-TW"/>
        </w:rPr>
        <w:t>公告编号：</w:t>
      </w:r>
      <w:r>
        <w:rPr>
          <w:rFonts w:ascii="Times New Roman" w:hAnsi="Times New Roman"/>
          <w:b/>
          <w:bCs/>
          <w:sz w:val="23"/>
          <w:szCs w:val="23"/>
          <w:highlight w:val="none"/>
        </w:rPr>
        <w:t>201</w:t>
      </w:r>
      <w:r>
        <w:rPr>
          <w:rFonts w:hint="eastAsia" w:ascii="Times New Roman" w:hAnsi="Times New Roman"/>
          <w:b/>
          <w:bCs/>
          <w:sz w:val="23"/>
          <w:szCs w:val="23"/>
          <w:highlight w:val="none"/>
        </w:rPr>
        <w:t>8</w:t>
      </w:r>
      <w:r>
        <w:rPr>
          <w:rFonts w:ascii="Times New Roman" w:hAnsi="Times New Roman"/>
          <w:b/>
          <w:bCs/>
          <w:sz w:val="23"/>
          <w:szCs w:val="23"/>
          <w:highlight w:val="none"/>
        </w:rPr>
        <w:t>-00</w:t>
      </w:r>
      <w:r>
        <w:rPr>
          <w:rFonts w:hint="eastAsia" w:ascii="Times New Roman" w:hAnsi="Times New Roman"/>
          <w:b/>
          <w:bCs/>
          <w:sz w:val="23"/>
          <w:szCs w:val="23"/>
          <w:highlight w:val="none"/>
        </w:rPr>
        <w:t>6</w:t>
      </w:r>
    </w:p>
    <w:p>
      <w:pPr>
        <w:spacing w:line="200" w:lineRule="exact"/>
        <w:rPr>
          <w:sz w:val="24"/>
        </w:rPr>
      </w:pPr>
    </w:p>
    <w:p>
      <w:pPr>
        <w:spacing w:line="200" w:lineRule="exact"/>
        <w:rPr>
          <w:sz w:val="24"/>
        </w:rPr>
      </w:pPr>
    </w:p>
    <w:p>
      <w:pPr>
        <w:spacing w:line="247" w:lineRule="exact"/>
        <w:rPr>
          <w:sz w:val="24"/>
        </w:rPr>
      </w:pPr>
    </w:p>
    <w:p>
      <w:pPr>
        <w:spacing w:line="20" w:lineRule="atLeast"/>
        <w:ind w:left="1980"/>
        <w:rPr>
          <w:rFonts w:cs="宋体"/>
          <w:b/>
          <w:bCs/>
          <w:sz w:val="36"/>
          <w:szCs w:val="36"/>
          <w:lang w:val="zh-TW" w:eastAsia="zh-TW"/>
        </w:rPr>
      </w:pPr>
      <w:r>
        <w:rPr>
          <w:rFonts w:cs="宋体"/>
          <w:b/>
          <w:bCs/>
          <w:sz w:val="36"/>
          <w:szCs w:val="36"/>
          <w:lang w:val="zh-TW" w:eastAsia="zh-TW"/>
        </w:rPr>
        <w:t>兰州庄园牧场股份有限公司</w:t>
      </w:r>
    </w:p>
    <w:p>
      <w:pPr>
        <w:spacing w:line="213" w:lineRule="exact"/>
        <w:rPr>
          <w:sz w:val="24"/>
        </w:rPr>
      </w:pPr>
    </w:p>
    <w:p>
      <w:pPr>
        <w:spacing w:line="20" w:lineRule="atLeast"/>
        <w:jc w:val="center"/>
        <w:rPr>
          <w:rFonts w:cs="宋体"/>
          <w:b/>
          <w:bCs/>
          <w:sz w:val="36"/>
          <w:szCs w:val="36"/>
          <w:lang w:val="zh-TW" w:eastAsia="zh-TW"/>
        </w:rPr>
      </w:pPr>
      <w:r>
        <w:rPr>
          <w:rFonts w:hint="eastAsia" w:cs="宋体"/>
          <w:b/>
          <w:bCs/>
          <w:sz w:val="36"/>
          <w:szCs w:val="36"/>
          <w:lang w:val="zh-TW"/>
        </w:rPr>
        <w:t>关于会计政策变更的</w:t>
      </w:r>
      <w:r>
        <w:rPr>
          <w:rFonts w:cs="宋体"/>
          <w:b/>
          <w:bCs/>
          <w:sz w:val="36"/>
          <w:szCs w:val="36"/>
          <w:lang w:val="zh-TW" w:eastAsia="zh-TW"/>
        </w:rPr>
        <w:t>公告</w:t>
      </w:r>
    </w:p>
    <w:p>
      <w:pPr>
        <w:spacing w:line="200" w:lineRule="exact"/>
        <w:rPr>
          <w:sz w:val="24"/>
        </w:rPr>
      </w:pPr>
      <w:r>
        <w:rPr>
          <w:rFonts w:cs="宋体"/>
          <w:b/>
          <w:bCs/>
          <w:sz w:val="36"/>
          <w:szCs w:val="36"/>
        </w:rPr>
        <w:pict>
          <v:line id="直线 2" o:spid="_x0000_s1029" o:spt="20" style="position:absolute;left:0pt;margin-left:456.1pt;margin-top:27.9pt;height:66.1pt;width:0pt;mso-position-vertical-relative:line;z-index:-251662336;mso-width-relative:page;mso-height-relative:page;" coordsize="21600,21600" o:gfxdata="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&#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YrZH51wAAAAoBAAAPAAAAAAAAAAEAIAAAACIAAABk&#10;cnMvZG93bnJldi54bWxQSwECFAAUAAAACACHTuJAim/+Wc4BAACNAwAADgAAAAAAAAABACAAAAAm&#10;AQAAZHJzL2Uyb0RvYy54bWxQSwUGAAAAAAYABgBZAQAAZgUAAAAA&#10;">
            <v:path arrowok="t"/>
            <v:fill focussize="0,0"/>
            <v:stroke weight="1pt"/>
            <v:imagedata o:title=""/>
            <o:lock v:ext="edit"/>
          </v:line>
        </w:pict>
      </w:r>
      <w:r>
        <w:rPr>
          <w:rFonts w:cs="宋体"/>
          <w:b/>
          <w:bCs/>
          <w:sz w:val="36"/>
          <w:szCs w:val="36"/>
        </w:rPr>
        <w:pict>
          <v:line id="直线 3" o:spid="_x0000_s1026" o:spt="20" style="position:absolute;left:0pt;margin-left:-35.6pt;margin-top:27.9pt;height:0pt;width:492.7pt;mso-position-vertical-relative:line;z-index:-251661312;mso-width-relative:page;mso-height-relative:page;" coordsize="21600,21600" o:gfxdata="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&#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3tbNrXAAAACQEAAA8AAAAAAAAAAQAgAAAAIgAAAGRy&#10;cy9kb3ducmV2LnhtbFBLAQIUABQAAAAIAIdO4kBQ3Z/wzQEAAI4DAAAOAAAAAAAAAAEAIAAAACYB&#10;AABkcnMvZTJvRG9jLnhtbFBLBQYAAAAABgAGAFkBAABlBQAAAAA=&#10;">
            <v:path arrowok="t"/>
            <v:fill focussize="0,0"/>
            <v:stroke weight="1pt"/>
            <v:imagedata o:title=""/>
            <o:lock v:ext="edit"/>
          </v:line>
        </w:pict>
      </w:r>
      <w:r>
        <w:rPr>
          <w:rFonts w:cs="宋体"/>
          <w:b/>
          <w:bCs/>
          <w:sz w:val="36"/>
          <w:szCs w:val="36"/>
        </w:rPr>
        <w:pict>
          <v:line id="_x0000_s1028" o:spid="_x0000_s1028" o:spt="20" style="position:absolute;left:0pt;flip:x;margin-left:-35.5pt;margin-top:27.9pt;height:66.1pt;width:0pt;mso-position-vertical-relative:line;z-index:-251660288;mso-width-relative:page;mso-height-relative:page;" coordsize="21600,21600" o:gfxdata="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AU3edcAAAAKAQAADwAAAAAAAAABACAA&#10;AAAiAAAAZHJzL2Rvd25yZXYueG1sUEsBAhQAFAAAAAgAh07iQGkI38jVAQAAlwMAAA4AAAAAAAAA&#10;AQAgAAAAJgEAAGRycy9lMm9Eb2MueG1sUEsFBgAAAAAGAAYAWQEAAG0FAAAAAA==&#10;">
            <v:path arrowok="t"/>
            <v:fill focussize="0,0"/>
            <v:stroke weight="1pt"/>
            <v:imagedata o:title=""/>
            <o:lock v:ext="edit"/>
          </v:line>
        </w:pict>
      </w:r>
      <w:r>
        <w:rPr>
          <w:rFonts w:cs="宋体"/>
          <w:b/>
          <w:bCs/>
          <w:sz w:val="36"/>
          <w:szCs w:val="36"/>
        </w:rPr>
        <w:pict>
          <v:line id="直线 5" o:spid="_x0000_s1027" o:spt="20" style="position:absolute;left:0pt;margin-left:-35.6pt;margin-top:93pt;height:0pt;width:492.7pt;mso-position-vertical-relative:line;z-index:-251659264;mso-width-relative:page;mso-height-relative:page;" coordsize="21600,21600" o:gfxdata="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ouVY9gAAAALAQAADwAAAAAAAAABACAAAAAiAAAA&#10;ZHJzL2Rvd25yZXYueG1sUEsBAhQAFAAAAAgAh07iQIHe+rDOAQAAjgMAAA4AAAAAAAAAAQAgAAAA&#10;JwEAAGRycy9lMm9Eb2MueG1sUEsFBgAAAAAGAAYAWQEAAGcFAAAAAA==&#10;">
            <v:path arrowok="t"/>
            <v:fill focussize="0,0"/>
            <v:stroke weight="1pt"/>
            <v:imagedata o:title=""/>
            <o:lock v:ext="edit"/>
          </v:line>
        </w:pict>
      </w:r>
    </w:p>
    <w:p>
      <w:pPr>
        <w:spacing w:line="200" w:lineRule="exact"/>
        <w:rPr>
          <w:sz w:val="24"/>
        </w:rPr>
      </w:pPr>
    </w:p>
    <w:p>
      <w:pPr>
        <w:spacing w:line="200" w:lineRule="exact"/>
        <w:rPr>
          <w:sz w:val="24"/>
        </w:rPr>
      </w:pPr>
    </w:p>
    <w:p>
      <w:pPr>
        <w:spacing w:line="235" w:lineRule="exact"/>
        <w:rPr>
          <w:sz w:val="24"/>
        </w:rPr>
      </w:pPr>
    </w:p>
    <w:p>
      <w:pPr>
        <w:spacing w:line="20" w:lineRule="atLeast"/>
        <w:ind w:left="480"/>
        <w:rPr>
          <w:rFonts w:cs="宋体"/>
          <w:b/>
          <w:bCs/>
          <w:sz w:val="24"/>
          <w:lang w:val="zh-TW" w:eastAsia="zh-TW"/>
        </w:rPr>
      </w:pPr>
      <w:r>
        <w:rPr>
          <w:rFonts w:cs="宋体"/>
          <w:b/>
          <w:bCs/>
          <w:sz w:val="24"/>
          <w:lang w:val="zh-TW" w:eastAsia="zh-TW"/>
        </w:rPr>
        <w:t>本公司及董事会全体成员保证公告内容的真实、准确和完整，没有虚假记</w:t>
      </w:r>
    </w:p>
    <w:p>
      <w:pPr>
        <w:spacing w:line="194" w:lineRule="exact"/>
        <w:rPr>
          <w:sz w:val="24"/>
        </w:rPr>
      </w:pPr>
    </w:p>
    <w:p>
      <w:pPr>
        <w:spacing w:line="20" w:lineRule="atLeast"/>
        <w:rPr>
          <w:rFonts w:cs="宋体"/>
          <w:b/>
          <w:bCs/>
          <w:sz w:val="24"/>
          <w:lang w:val="zh-TW" w:eastAsia="zh-TW"/>
        </w:rPr>
      </w:pPr>
      <w:r>
        <w:rPr>
          <w:rFonts w:cs="宋体"/>
          <w:b/>
          <w:bCs/>
          <w:sz w:val="24"/>
          <w:lang w:val="zh-TW" w:eastAsia="zh-TW"/>
        </w:rPr>
        <w:t>载、误导性陈述或重大遗漏。</w:t>
      </w:r>
    </w:p>
    <w:p>
      <w:pPr>
        <w:spacing w:line="200" w:lineRule="exact"/>
        <w:rPr>
          <w:sz w:val="24"/>
        </w:rPr>
      </w:pPr>
    </w:p>
    <w:p>
      <w:pPr>
        <w:spacing w:line="200" w:lineRule="exact"/>
        <w:rPr>
          <w:sz w:val="24"/>
        </w:rPr>
      </w:pPr>
    </w:p>
    <w:p>
      <w:pPr>
        <w:numPr>
          <w:ilvl w:val="0"/>
          <w:numId w:val="1"/>
        </w:numPr>
        <w:spacing w:before="156" w:beforeLines="50" w:line="360" w:lineRule="auto"/>
        <w:ind w:firstLine="426" w:firstLineChars="177"/>
        <w:rPr>
          <w:rFonts w:cs="宋体"/>
          <w:b/>
          <w:sz w:val="24"/>
        </w:rPr>
      </w:pPr>
      <w:r>
        <w:rPr>
          <w:rFonts w:hint="eastAsia" w:cs="宋体"/>
          <w:b/>
          <w:sz w:val="24"/>
        </w:rPr>
        <w:t>会计政策变更概述</w:t>
      </w:r>
    </w:p>
    <w:p>
      <w:pPr>
        <w:spacing w:before="156" w:beforeLines="50" w:line="360" w:lineRule="auto"/>
        <w:ind w:firstLine="480" w:firstLineChars="200"/>
        <w:rPr>
          <w:rFonts w:cs="宋体"/>
          <w:bCs/>
          <w:sz w:val="24"/>
        </w:rPr>
      </w:pPr>
      <w:r>
        <w:rPr>
          <w:rFonts w:hint="eastAsia" w:cs="宋体"/>
          <w:bCs/>
          <w:sz w:val="24"/>
        </w:rPr>
        <w:t>(一）会计政策变更原因</w:t>
      </w:r>
    </w:p>
    <w:p>
      <w:pPr>
        <w:spacing w:before="156" w:beforeLines="50" w:line="360" w:lineRule="auto"/>
        <w:ind w:firstLine="480" w:firstLineChars="200"/>
        <w:rPr>
          <w:rFonts w:cs="宋体"/>
          <w:sz w:val="24"/>
        </w:rPr>
      </w:pPr>
      <w:r>
        <w:rPr>
          <w:rFonts w:hint="eastAsia" w:cs="宋体"/>
          <w:sz w:val="24"/>
        </w:rPr>
        <w:t>自2017年以来，财政部先后修订及新发布了如下会计准则：</w:t>
      </w:r>
    </w:p>
    <w:p>
      <w:pPr>
        <w:spacing w:before="156" w:beforeLines="50" w:line="360" w:lineRule="auto"/>
        <w:ind w:firstLine="480" w:firstLineChars="200"/>
        <w:rPr>
          <w:rFonts w:cs="宋体"/>
          <w:sz w:val="24"/>
        </w:rPr>
      </w:pPr>
      <w:r>
        <w:rPr>
          <w:rFonts w:hint="eastAsia" w:cs="宋体"/>
          <w:sz w:val="24"/>
        </w:rPr>
        <w:t>1. 《企业会计准则第16号——政府补助》（财会〔2017〕15号），自2017年6月12日起施行。</w:t>
      </w:r>
    </w:p>
    <w:p>
      <w:pPr>
        <w:spacing w:before="156" w:beforeLines="50" w:line="360" w:lineRule="auto"/>
        <w:ind w:firstLine="480" w:firstLineChars="200"/>
        <w:rPr>
          <w:rFonts w:cs="宋体"/>
          <w:sz w:val="24"/>
        </w:rPr>
      </w:pPr>
      <w:r>
        <w:rPr>
          <w:rFonts w:hint="eastAsia" w:cs="宋体"/>
          <w:sz w:val="24"/>
        </w:rPr>
        <w:t>2. 《企业会计准则第42号——持有待售的非流动资产、处置组和终止经营》（财会〔2017〕13号），自2017年5月28日起施行。</w:t>
      </w:r>
    </w:p>
    <w:p>
      <w:pPr>
        <w:spacing w:before="156" w:beforeLines="50" w:line="360" w:lineRule="auto"/>
        <w:ind w:firstLine="480" w:firstLineChars="200"/>
        <w:rPr>
          <w:rFonts w:cs="宋体"/>
          <w:sz w:val="24"/>
        </w:rPr>
      </w:pPr>
      <w:r>
        <w:rPr>
          <w:rFonts w:hint="eastAsia" w:cs="宋体"/>
          <w:sz w:val="24"/>
        </w:rPr>
        <w:t>3. 《企业会计准则第22号——金融工具确认和计量》（财会〔2017〕7号）、《企业会计准则第23号——金融资产转移》（财会〔2017〕8号）、《企业会计准则第24号——套期会计》（财会〔2017〕9号）、《企业会计准则第37号——金融工具列报》（财会〔2017〕14号）和《企业会计准则第14号——收入》（财会〔2017〕22号）会计准则，对于在境内外同时上市的企业以及在境外上市并采用国际财务报告准则或企业会计准则编制财务报表的企业，上述准则修订要求自2018年1月1日起施行。</w:t>
      </w:r>
    </w:p>
    <w:p>
      <w:pPr>
        <w:spacing w:before="156" w:beforeLines="50" w:line="360" w:lineRule="auto"/>
        <w:ind w:firstLine="240" w:firstLineChars="100"/>
        <w:rPr>
          <w:rFonts w:cs="宋体"/>
          <w:sz w:val="24"/>
        </w:rPr>
      </w:pPr>
      <w:r>
        <w:rPr>
          <w:rFonts w:hint="eastAsia" w:cs="宋体"/>
          <w:sz w:val="24"/>
        </w:rPr>
        <w:t>（二）变更日期</w:t>
      </w:r>
    </w:p>
    <w:p>
      <w:pPr>
        <w:spacing w:before="156" w:beforeLines="50" w:line="360" w:lineRule="auto"/>
        <w:ind w:firstLine="480" w:firstLineChars="200"/>
        <w:rPr>
          <w:rFonts w:cs="宋体"/>
          <w:sz w:val="24"/>
        </w:rPr>
      </w:pPr>
      <w:r>
        <w:rPr>
          <w:rFonts w:hint="eastAsia" w:cs="宋体"/>
          <w:sz w:val="24"/>
        </w:rPr>
        <w:t>根据前述规定，公司于上述文件规定的起始日开始执行上述企业会计准则。</w:t>
      </w:r>
    </w:p>
    <w:p>
      <w:pPr>
        <w:spacing w:before="156" w:beforeLines="50" w:line="360" w:lineRule="auto"/>
        <w:ind w:firstLine="240" w:firstLineChars="100"/>
        <w:rPr>
          <w:rFonts w:cs="宋体"/>
          <w:sz w:val="24"/>
        </w:rPr>
      </w:pPr>
      <w:r>
        <w:rPr>
          <w:rFonts w:hint="eastAsia" w:cs="宋体"/>
          <w:sz w:val="24"/>
        </w:rPr>
        <w:t>（三）变更前公司采用的会计政策</w:t>
      </w:r>
    </w:p>
    <w:p>
      <w:pPr>
        <w:spacing w:before="156" w:beforeLines="50" w:line="360" w:lineRule="auto"/>
        <w:ind w:left="560" w:leftChars="200"/>
        <w:rPr>
          <w:rFonts w:cs="宋体"/>
          <w:sz w:val="24"/>
        </w:rPr>
      </w:pPr>
      <w:r>
        <w:rPr>
          <w:rFonts w:hint="eastAsia" w:cs="宋体"/>
          <w:sz w:val="24"/>
        </w:rPr>
        <w:t>1.《企业会计准则第16号——政府补助》（财会〔2006〕3号）</w:t>
      </w:r>
    </w:p>
    <w:p>
      <w:pPr>
        <w:spacing w:before="156" w:beforeLines="50" w:line="360" w:lineRule="auto"/>
        <w:ind w:left="560" w:leftChars="200"/>
        <w:rPr>
          <w:rFonts w:cs="宋体"/>
          <w:sz w:val="24"/>
        </w:rPr>
      </w:pPr>
      <w:r>
        <w:rPr>
          <w:rFonts w:hint="eastAsia" w:cs="宋体"/>
          <w:sz w:val="24"/>
        </w:rPr>
        <w:t>2.《企业会计准则第22号——金融工具确认和计量》（财会〔2006〕3号）</w:t>
      </w:r>
    </w:p>
    <w:p>
      <w:pPr>
        <w:spacing w:before="156" w:beforeLines="50" w:line="360" w:lineRule="auto"/>
        <w:ind w:left="560" w:leftChars="200"/>
        <w:rPr>
          <w:rFonts w:cs="宋体"/>
          <w:sz w:val="24"/>
        </w:rPr>
      </w:pPr>
      <w:r>
        <w:rPr>
          <w:rFonts w:hint="eastAsia" w:cs="宋体"/>
          <w:sz w:val="24"/>
        </w:rPr>
        <w:t>3.《企业会计准则第23号——金融资产转移》（财会〔2006〕3号）</w:t>
      </w:r>
    </w:p>
    <w:p>
      <w:pPr>
        <w:spacing w:before="156" w:beforeLines="50" w:line="360" w:lineRule="auto"/>
        <w:ind w:left="560" w:leftChars="200"/>
        <w:rPr>
          <w:rFonts w:cs="宋体"/>
          <w:sz w:val="24"/>
        </w:rPr>
      </w:pPr>
      <w:r>
        <w:rPr>
          <w:rFonts w:hint="eastAsia" w:cs="宋体"/>
          <w:sz w:val="24"/>
        </w:rPr>
        <w:t>4.《企业会计准则第24号——套期保值》（财会〔2006〕3号）</w:t>
      </w:r>
    </w:p>
    <w:p>
      <w:pPr>
        <w:spacing w:before="156" w:beforeLines="50" w:line="360" w:lineRule="auto"/>
        <w:ind w:left="560" w:leftChars="200"/>
        <w:rPr>
          <w:rFonts w:cs="宋体"/>
          <w:sz w:val="24"/>
        </w:rPr>
      </w:pPr>
      <w:r>
        <w:rPr>
          <w:rFonts w:hint="eastAsia" w:cs="宋体"/>
          <w:sz w:val="24"/>
        </w:rPr>
        <w:t>5.《企业会计准则第37号——金融工具列报》（财会〔2014〕23号）</w:t>
      </w:r>
    </w:p>
    <w:p>
      <w:pPr>
        <w:spacing w:before="156" w:beforeLines="50" w:line="360" w:lineRule="auto"/>
        <w:ind w:left="560" w:leftChars="200"/>
        <w:rPr>
          <w:rFonts w:cs="宋体"/>
          <w:sz w:val="24"/>
        </w:rPr>
      </w:pPr>
      <w:r>
        <w:rPr>
          <w:rFonts w:hint="eastAsia" w:cs="宋体"/>
          <w:sz w:val="24"/>
        </w:rPr>
        <w:t>6.《企业会计准则第14号——收入》（财会〔2006〕3号）</w:t>
      </w:r>
    </w:p>
    <w:p>
      <w:pPr>
        <w:numPr>
          <w:ilvl w:val="0"/>
          <w:numId w:val="2"/>
        </w:numPr>
        <w:spacing w:before="156" w:beforeLines="50" w:line="360" w:lineRule="auto"/>
        <w:ind w:firstLine="240" w:firstLineChars="100"/>
        <w:rPr>
          <w:rFonts w:cs="宋体"/>
          <w:sz w:val="24"/>
        </w:rPr>
      </w:pPr>
      <w:r>
        <w:rPr>
          <w:rFonts w:hint="eastAsia" w:cs="宋体"/>
          <w:sz w:val="24"/>
        </w:rPr>
        <w:t xml:space="preserve">变更后公司采用的会计政策 </w:t>
      </w:r>
    </w:p>
    <w:p>
      <w:pPr>
        <w:numPr>
          <w:ilvl w:val="0"/>
          <w:numId w:val="3"/>
        </w:numPr>
        <w:spacing w:before="156" w:beforeLines="50" w:line="360" w:lineRule="auto"/>
        <w:ind w:left="560" w:leftChars="200"/>
        <w:rPr>
          <w:rFonts w:cs="宋体"/>
          <w:sz w:val="24"/>
        </w:rPr>
      </w:pPr>
      <w:r>
        <w:rPr>
          <w:rFonts w:hint="eastAsia" w:cs="宋体"/>
          <w:sz w:val="24"/>
        </w:rPr>
        <w:t>《企业会计准则第16号——政府补助》（财会〔2017〕15号）</w:t>
      </w:r>
    </w:p>
    <w:p>
      <w:pPr>
        <w:spacing w:before="156" w:beforeLines="50" w:line="360" w:lineRule="auto"/>
        <w:ind w:left="-140" w:leftChars="-50" w:firstLine="720" w:firstLineChars="300"/>
        <w:rPr>
          <w:rFonts w:cs="宋体"/>
          <w:sz w:val="24"/>
        </w:rPr>
      </w:pPr>
      <w:r>
        <w:rPr>
          <w:rFonts w:hint="eastAsia" w:cs="宋体"/>
          <w:sz w:val="24"/>
        </w:rPr>
        <w:t>2.《企业会计准则第42号——持有待售的非流动资产、处置组和终止经营》（财会〔2017〕13号）</w:t>
      </w:r>
    </w:p>
    <w:p>
      <w:pPr>
        <w:spacing w:before="156" w:beforeLines="50" w:line="360" w:lineRule="auto"/>
        <w:ind w:left="560" w:leftChars="200"/>
        <w:rPr>
          <w:rFonts w:cs="宋体"/>
          <w:sz w:val="24"/>
        </w:rPr>
      </w:pPr>
      <w:r>
        <w:rPr>
          <w:rFonts w:hint="eastAsia" w:cs="宋体"/>
          <w:sz w:val="24"/>
        </w:rPr>
        <w:t>3.《企业会计准则第22号——金融工具确认和计量》（财会〔2017〕7号）</w:t>
      </w:r>
    </w:p>
    <w:p>
      <w:pPr>
        <w:spacing w:before="156" w:beforeLines="50" w:line="360" w:lineRule="auto"/>
        <w:ind w:left="560" w:leftChars="200"/>
        <w:rPr>
          <w:rFonts w:cs="宋体"/>
          <w:sz w:val="24"/>
        </w:rPr>
      </w:pPr>
      <w:r>
        <w:rPr>
          <w:rFonts w:hint="eastAsia" w:cs="宋体"/>
          <w:sz w:val="24"/>
        </w:rPr>
        <w:t>4.《企业会计准则第23号——金融资产转移》（财会〔2017〕8号）</w:t>
      </w:r>
    </w:p>
    <w:p>
      <w:pPr>
        <w:spacing w:before="156" w:beforeLines="50" w:line="360" w:lineRule="auto"/>
        <w:ind w:left="560" w:leftChars="200"/>
        <w:rPr>
          <w:rFonts w:cs="宋体"/>
          <w:sz w:val="24"/>
        </w:rPr>
      </w:pPr>
      <w:r>
        <w:rPr>
          <w:rFonts w:hint="eastAsia" w:cs="宋体"/>
          <w:sz w:val="24"/>
        </w:rPr>
        <w:t>5.《企业会计准则第24号——套期会计》（财会〔2017〕9号）</w:t>
      </w:r>
    </w:p>
    <w:p>
      <w:pPr>
        <w:spacing w:before="156" w:beforeLines="50" w:line="360" w:lineRule="auto"/>
        <w:ind w:left="560" w:leftChars="200"/>
        <w:rPr>
          <w:rFonts w:cs="宋体"/>
          <w:sz w:val="24"/>
        </w:rPr>
      </w:pPr>
      <w:r>
        <w:rPr>
          <w:rFonts w:hint="eastAsia" w:cs="宋体"/>
          <w:sz w:val="24"/>
        </w:rPr>
        <w:t>6.《企业会计准则第37号——金融工具列报》（财会〔2017〕14号）</w:t>
      </w:r>
    </w:p>
    <w:p>
      <w:pPr>
        <w:spacing w:before="156" w:beforeLines="50" w:line="360" w:lineRule="auto"/>
        <w:ind w:left="560" w:leftChars="200"/>
        <w:rPr>
          <w:rFonts w:cs="宋体"/>
          <w:sz w:val="24"/>
        </w:rPr>
      </w:pPr>
      <w:r>
        <w:rPr>
          <w:rFonts w:hint="eastAsia" w:cs="宋体"/>
          <w:sz w:val="24"/>
        </w:rPr>
        <w:t>7.《企业会计准则第14号——收入》（财会〔2017〕22号）</w:t>
      </w:r>
    </w:p>
    <w:p>
      <w:pPr>
        <w:numPr>
          <w:ilvl w:val="0"/>
          <w:numId w:val="1"/>
        </w:numPr>
        <w:spacing w:before="156" w:beforeLines="50" w:line="360" w:lineRule="auto"/>
        <w:ind w:firstLine="426" w:firstLineChars="177"/>
        <w:rPr>
          <w:rFonts w:cs="宋体"/>
          <w:b/>
          <w:sz w:val="24"/>
        </w:rPr>
      </w:pPr>
      <w:r>
        <w:rPr>
          <w:rFonts w:hint="eastAsia" w:cs="宋体"/>
          <w:b/>
          <w:sz w:val="24"/>
        </w:rPr>
        <w:t>本次会计政策变更对公司的影响</w:t>
      </w:r>
    </w:p>
    <w:p>
      <w:pPr>
        <w:spacing w:before="156" w:beforeLines="50" w:line="360" w:lineRule="auto"/>
        <w:ind w:firstLine="480" w:firstLineChars="200"/>
        <w:rPr>
          <w:rFonts w:cs="宋体"/>
          <w:sz w:val="24"/>
        </w:rPr>
      </w:pPr>
      <w:r>
        <w:rPr>
          <w:rFonts w:hint="eastAsia" w:cs="宋体"/>
          <w:sz w:val="24"/>
        </w:rPr>
        <w:t>（一）《企业会计准则第22号——金融工具确认和计量》（财会〔2017〕7号）、《企业会计准则第23号——金融资产转移》（财会〔2017〕8号）、《企业会计准则第24号——套期会计》（财会〔2017〕9号）、《企业会计准则第37号——金融工具列报》（财会〔2017〕14号）的修订内容主要包括：</w:t>
      </w:r>
    </w:p>
    <w:p>
      <w:pPr>
        <w:spacing w:before="156" w:beforeLines="50" w:line="360" w:lineRule="auto"/>
        <w:ind w:firstLine="480" w:firstLineChars="200"/>
        <w:rPr>
          <w:rFonts w:cs="宋体"/>
          <w:sz w:val="24"/>
        </w:rPr>
      </w:pPr>
      <w:r>
        <w:rPr>
          <w:rFonts w:hint="eastAsia" w:cs="宋体"/>
          <w:sz w:val="24"/>
        </w:rPr>
        <w:t>金融资产分类由现行“四分类”改为“三分类”，减少金融资产类别，提高分类的客观性和有关会计处理的—致性；金融资产减值会计由“已发生损失法”改为“预期损失法”，以更加及时、足额地计提金融资产减值准备，揭示和防控公司金融资产信用风险；金融资产转移的判断原则及其会计处理进一步明确；套期会计方面扩大了符合条件的被套期项目和套期工具范围，取消了有效性测试的定量标准和回顾性测试要求；金融工具披露要求相应调整。</w:t>
      </w:r>
    </w:p>
    <w:p>
      <w:pPr>
        <w:spacing w:before="156" w:beforeLines="50" w:line="360" w:lineRule="auto"/>
        <w:ind w:firstLine="480" w:firstLineChars="200"/>
        <w:rPr>
          <w:rFonts w:cs="宋体"/>
          <w:sz w:val="24"/>
        </w:rPr>
      </w:pPr>
      <w:r>
        <w:rPr>
          <w:rFonts w:hint="eastAsia" w:cs="宋体"/>
          <w:sz w:val="24"/>
        </w:rPr>
        <w:t>上述新准则对于在境内外同时上市的企业自2018年1月1日起施行。这些新准则实施预计将对本公司财务报告影响不重大。</w:t>
      </w:r>
    </w:p>
    <w:p>
      <w:pPr>
        <w:spacing w:before="156" w:beforeLines="50" w:line="360" w:lineRule="auto"/>
        <w:ind w:firstLine="480" w:firstLineChars="200"/>
        <w:rPr>
          <w:rFonts w:cs="宋体"/>
          <w:sz w:val="24"/>
        </w:rPr>
      </w:pPr>
      <w:r>
        <w:rPr>
          <w:rFonts w:hint="eastAsia" w:cs="宋体"/>
          <w:sz w:val="24"/>
        </w:rPr>
        <w:t>（二） 《企业会计准则第14号——收入》（财会〔2017〕22号）的修订内容主要包括：</w:t>
      </w:r>
    </w:p>
    <w:p>
      <w:pPr>
        <w:spacing w:before="156" w:beforeLines="50" w:line="360" w:lineRule="auto"/>
        <w:ind w:firstLine="480" w:firstLineChars="200"/>
        <w:rPr>
          <w:rFonts w:cs="宋体"/>
          <w:sz w:val="24"/>
        </w:rPr>
      </w:pPr>
      <w:r>
        <w:rPr>
          <w:rFonts w:hint="eastAsia" w:cs="宋体"/>
          <w:sz w:val="24"/>
        </w:rPr>
        <w:t>将现行收入和建造合同两项准则纳入统一的收入确认模型；以控制权转移替代风险报酬转移作为收入确认时点的判断标准；对于包含多重交易安排的合同的会计处理提供更明确的指引；对于某些特定交易（或事项）的收入确认和计量给出了明确规定。</w:t>
      </w:r>
    </w:p>
    <w:p>
      <w:pPr>
        <w:spacing w:before="156" w:beforeLines="50" w:line="360" w:lineRule="auto"/>
        <w:ind w:firstLine="480" w:firstLineChars="200"/>
        <w:rPr>
          <w:rFonts w:cs="宋体"/>
          <w:sz w:val="24"/>
        </w:rPr>
      </w:pPr>
      <w:r>
        <w:rPr>
          <w:rFonts w:hint="eastAsia" w:cs="宋体"/>
          <w:sz w:val="24"/>
        </w:rPr>
        <w:t>上述新准则对于在境内外同时上市的企业自2018年1月1日起施行。该准则实施预计不会导致本公司收入确认方式发生重大变化，对财务报表影响不重大。</w:t>
      </w:r>
    </w:p>
    <w:p>
      <w:pPr>
        <w:spacing w:before="156" w:beforeLines="50" w:line="360" w:lineRule="auto"/>
        <w:ind w:firstLine="480" w:firstLineChars="200"/>
        <w:rPr>
          <w:rFonts w:cs="宋体"/>
          <w:sz w:val="24"/>
        </w:rPr>
      </w:pPr>
      <w:r>
        <w:rPr>
          <w:rFonts w:hint="eastAsia" w:cs="宋体"/>
          <w:sz w:val="24"/>
        </w:rPr>
        <w:t>（三）《企业会计准则第16号——政府补助》（财会〔2017〕15号）修订的主要内容包括：</w:t>
      </w:r>
    </w:p>
    <w:p>
      <w:pPr>
        <w:spacing w:before="156" w:beforeLines="50" w:line="360" w:lineRule="auto"/>
        <w:ind w:firstLine="480" w:firstLineChars="200"/>
        <w:rPr>
          <w:rFonts w:cs="宋体"/>
          <w:sz w:val="24"/>
        </w:rPr>
      </w:pPr>
      <w:r>
        <w:rPr>
          <w:rFonts w:hint="eastAsia" w:cs="宋体"/>
          <w:sz w:val="24"/>
        </w:rPr>
        <w:t>与资产相关的政府补助可冲减相关资产的账面价值；与收益相关的政府补助中，与企业日常活动相关的政府补助按照经济业务实质，计入其他收益或冲减相关成本费用。</w:t>
      </w:r>
    </w:p>
    <w:p>
      <w:pPr>
        <w:spacing w:before="156" w:beforeLines="50" w:line="360" w:lineRule="auto"/>
        <w:ind w:firstLine="480" w:firstLineChars="200"/>
        <w:rPr>
          <w:rFonts w:cs="宋体"/>
          <w:sz w:val="24"/>
        </w:rPr>
      </w:pPr>
      <w:r>
        <w:rPr>
          <w:rFonts w:hint="eastAsia" w:cs="宋体"/>
          <w:sz w:val="24"/>
        </w:rPr>
        <w:t>该准则自2017年6月12日起施行。根据衔接规定，企业对2017年1月1日存在的政府补助采用未来适用法处理，对2017年1月1日至施行日之间新增的政府补助根据本准则进行调整。此次变更对本公司当期和前期净损益、总资产和净资产不产生重大影响。</w:t>
      </w:r>
    </w:p>
    <w:p>
      <w:pPr>
        <w:spacing w:before="156" w:beforeLines="50" w:line="360" w:lineRule="auto"/>
        <w:ind w:firstLine="480" w:firstLineChars="200"/>
        <w:rPr>
          <w:rFonts w:cs="宋体"/>
          <w:sz w:val="24"/>
        </w:rPr>
      </w:pPr>
      <w:r>
        <w:rPr>
          <w:rFonts w:hint="eastAsia" w:cs="宋体"/>
          <w:sz w:val="24"/>
        </w:rPr>
        <w:t>（四） 《企业会计准则第42号——持有待售的非流动资产、处置组和终止经营》（财会〔2017〕13号）修订的主要内容包括：</w:t>
      </w:r>
    </w:p>
    <w:p>
      <w:pPr>
        <w:spacing w:before="156" w:beforeLines="50" w:line="360" w:lineRule="auto"/>
        <w:ind w:firstLine="480" w:firstLineChars="200"/>
        <w:rPr>
          <w:rFonts w:cs="宋体"/>
          <w:sz w:val="24"/>
        </w:rPr>
      </w:pPr>
      <w:r>
        <w:rPr>
          <w:rFonts w:hint="eastAsia" w:cs="宋体"/>
          <w:sz w:val="24"/>
        </w:rPr>
        <w:t xml:space="preserve">明确了持有待售类别的划分条件、持有待售类别的计量、终止经营的列报。 </w:t>
      </w:r>
    </w:p>
    <w:p>
      <w:pPr>
        <w:spacing w:before="156" w:beforeLines="50" w:line="360" w:lineRule="auto"/>
        <w:ind w:firstLine="480" w:firstLineChars="200"/>
        <w:rPr>
          <w:rFonts w:cs="宋体"/>
          <w:b/>
          <w:sz w:val="24"/>
        </w:rPr>
      </w:pPr>
      <w:r>
        <w:rPr>
          <w:rFonts w:hint="eastAsia" w:cs="宋体"/>
          <w:sz w:val="24"/>
        </w:rPr>
        <w:t>该准则自2017年5月28日起施行。对本公司当期和前期净损益、总资产和净资产无影响。</w:t>
      </w:r>
    </w:p>
    <w:p>
      <w:pPr>
        <w:spacing w:before="156" w:beforeLines="50" w:line="360" w:lineRule="auto"/>
        <w:ind w:firstLine="426" w:firstLineChars="177"/>
        <w:rPr>
          <w:rFonts w:cs="宋体"/>
          <w:b/>
          <w:sz w:val="24"/>
        </w:rPr>
      </w:pPr>
      <w:r>
        <w:rPr>
          <w:rFonts w:hint="eastAsia" w:cs="宋体"/>
          <w:b/>
          <w:sz w:val="24"/>
        </w:rPr>
        <w:t>三、董事会和监事会审议本次会计政策变更情况</w:t>
      </w:r>
    </w:p>
    <w:p>
      <w:pPr>
        <w:spacing w:before="156" w:beforeLines="50" w:line="360" w:lineRule="auto"/>
        <w:ind w:firstLine="424" w:firstLineChars="177"/>
        <w:rPr>
          <w:rFonts w:cs="宋体"/>
          <w:sz w:val="24"/>
        </w:rPr>
      </w:pPr>
      <w:r>
        <w:rPr>
          <w:rFonts w:hint="eastAsia" w:cs="宋体"/>
          <w:sz w:val="24"/>
        </w:rPr>
        <w:t>根据《深圳证券交易所股票上市规则》、《深圳证券交易所中小企业板上市公司规范运作指引》及《兰州庄园牧场股份有限公司章程》等有关规定，公司本次会计政策变更由公司</w:t>
      </w:r>
      <w:r>
        <w:rPr>
          <w:rFonts w:cs="宋体"/>
          <w:sz w:val="24"/>
        </w:rPr>
        <w:t>董事会、监事会审议批准后即生效，无需提交股东大会审议批准。</w:t>
      </w:r>
    </w:p>
    <w:p>
      <w:pPr>
        <w:spacing w:before="156" w:beforeLines="50" w:line="360" w:lineRule="auto"/>
        <w:ind w:firstLine="426" w:firstLineChars="177"/>
        <w:rPr>
          <w:rFonts w:cs="宋体"/>
          <w:b/>
          <w:sz w:val="24"/>
        </w:rPr>
      </w:pPr>
      <w:r>
        <w:rPr>
          <w:rFonts w:hint="eastAsia" w:cs="宋体"/>
          <w:b/>
          <w:sz w:val="24"/>
        </w:rPr>
        <w:t>四、独立董事意见</w:t>
      </w:r>
    </w:p>
    <w:p>
      <w:pPr>
        <w:spacing w:before="156" w:beforeLines="50" w:line="360" w:lineRule="auto"/>
        <w:ind w:firstLine="424" w:firstLineChars="177"/>
        <w:rPr>
          <w:rFonts w:cs="宋体"/>
          <w:sz w:val="24"/>
        </w:rPr>
      </w:pPr>
      <w:r>
        <w:rPr>
          <w:rFonts w:hint="eastAsia" w:cs="宋体"/>
          <w:sz w:val="24"/>
        </w:rPr>
        <w:t>独立董事认为</w:t>
      </w:r>
      <w:r>
        <w:rPr>
          <w:rFonts w:hint="eastAsia" w:cs="宋体"/>
          <w:sz w:val="24"/>
          <w:lang w:val="en-US" w:eastAsia="zh-CN"/>
        </w:rPr>
        <w:t>,</w:t>
      </w:r>
      <w:r>
        <w:rPr>
          <w:rFonts w:hint="eastAsia" w:cs="宋体"/>
          <w:sz w:val="24"/>
        </w:rPr>
        <w:t>公司本次会计政策变更是根据财政部相关文件规定进行的合理变更，符合财政部、中国证券监督管理委员会、深圳证券交易所等监管机构的相关规定，能够更加客观、公允地反映公司的财务状况和经营成果，符合公司及全体股东的利益。公司本次会计政策变更的审议程序符合相关法律法规及《公司章程》等的规定，不存在损害公司及股东、特别是中小股东利益的情形。</w:t>
      </w:r>
    </w:p>
    <w:p>
      <w:pPr>
        <w:spacing w:before="156" w:beforeLines="50" w:line="360" w:lineRule="auto"/>
        <w:ind w:firstLine="424" w:firstLineChars="177"/>
        <w:rPr>
          <w:rFonts w:cs="宋体"/>
          <w:sz w:val="24"/>
        </w:rPr>
      </w:pPr>
      <w:r>
        <w:rPr>
          <w:rFonts w:hint="eastAsia" w:cs="宋体"/>
          <w:sz w:val="24"/>
        </w:rPr>
        <w:t>公司独立董事同意本次会计政策的变更。</w:t>
      </w:r>
    </w:p>
    <w:p>
      <w:pPr>
        <w:spacing w:before="156" w:beforeLines="50" w:line="360" w:lineRule="auto"/>
        <w:ind w:firstLine="426" w:firstLineChars="177"/>
        <w:rPr>
          <w:rFonts w:cs="宋体"/>
          <w:b/>
          <w:sz w:val="24"/>
        </w:rPr>
      </w:pPr>
      <w:r>
        <w:rPr>
          <w:rFonts w:hint="eastAsia" w:cs="宋体"/>
          <w:b/>
          <w:sz w:val="24"/>
        </w:rPr>
        <w:t>五、监事会意见</w:t>
      </w:r>
    </w:p>
    <w:p>
      <w:pPr>
        <w:spacing w:before="156" w:beforeLines="50" w:line="360" w:lineRule="auto"/>
        <w:ind w:firstLine="424" w:firstLineChars="177"/>
        <w:rPr>
          <w:rFonts w:cs="宋体"/>
          <w:sz w:val="24"/>
        </w:rPr>
      </w:pPr>
      <w:r>
        <w:rPr>
          <w:rFonts w:hint="eastAsia" w:cs="宋体"/>
          <w:sz w:val="24"/>
        </w:rPr>
        <w:t>监事会认为</w:t>
      </w:r>
      <w:r>
        <w:rPr>
          <w:rFonts w:hint="eastAsia" w:cs="宋体"/>
          <w:sz w:val="24"/>
          <w:lang w:val="en-US" w:eastAsia="zh-CN"/>
        </w:rPr>
        <w:t>,</w:t>
      </w:r>
      <w:bookmarkStart w:id="0" w:name="_GoBack"/>
      <w:bookmarkEnd w:id="0"/>
      <w:r>
        <w:rPr>
          <w:rFonts w:hint="eastAsia" w:cs="宋体"/>
          <w:sz w:val="24"/>
        </w:rPr>
        <w:t>公司本次会计政策变更是根据财政部相关文件规定进行的合理变更，符合财政部、中国证券监督管理委员会、深圳证券交易所等监管机构的相关规定，能够更加客观、公允地反映公司的财务状况和经营成果，符合公司及全体股东的利益。公司本次会计政策变更的审议程序符合相关法律法规及《公司章程》等的规定，不存在损害公司及股东、特别是中小股东利益的情形。</w:t>
      </w:r>
    </w:p>
    <w:p>
      <w:pPr>
        <w:spacing w:before="156" w:beforeLines="50" w:line="360" w:lineRule="auto"/>
        <w:ind w:firstLine="424" w:firstLineChars="177"/>
        <w:rPr>
          <w:rFonts w:cs="宋体"/>
          <w:sz w:val="24"/>
          <w:highlight w:val="none"/>
        </w:rPr>
      </w:pPr>
      <w:r>
        <w:rPr>
          <w:rFonts w:hint="eastAsia" w:cs="宋体"/>
          <w:sz w:val="24"/>
          <w:highlight w:val="none"/>
        </w:rPr>
        <w:t>监事会同意本次会计政策的变更。</w:t>
      </w:r>
    </w:p>
    <w:p>
      <w:pPr>
        <w:spacing w:before="156" w:beforeLines="50" w:line="360" w:lineRule="auto"/>
        <w:ind w:firstLine="426" w:firstLineChars="177"/>
        <w:rPr>
          <w:rFonts w:cs="宋体"/>
          <w:b/>
          <w:sz w:val="24"/>
        </w:rPr>
      </w:pPr>
      <w:r>
        <w:rPr>
          <w:rFonts w:hint="eastAsia" w:cs="宋体"/>
          <w:b/>
          <w:sz w:val="24"/>
        </w:rPr>
        <w:t>六、备查文件</w:t>
      </w:r>
    </w:p>
    <w:p>
      <w:pPr>
        <w:spacing w:before="156" w:beforeLines="50" w:line="360" w:lineRule="auto"/>
        <w:ind w:firstLine="424" w:firstLineChars="177"/>
        <w:rPr>
          <w:rFonts w:cs="宋体"/>
          <w:sz w:val="24"/>
        </w:rPr>
      </w:pPr>
      <w:r>
        <w:rPr>
          <w:rFonts w:hint="eastAsia" w:cs="宋体"/>
          <w:sz w:val="24"/>
        </w:rPr>
        <w:t>1、2018年第一次董事会决议</w:t>
      </w:r>
    </w:p>
    <w:p>
      <w:pPr>
        <w:spacing w:before="156" w:beforeLines="50" w:line="360" w:lineRule="auto"/>
        <w:ind w:firstLine="424" w:firstLineChars="177"/>
        <w:rPr>
          <w:rFonts w:cs="宋体"/>
          <w:sz w:val="24"/>
        </w:rPr>
      </w:pPr>
      <w:r>
        <w:rPr>
          <w:rFonts w:hint="eastAsia" w:cs="宋体"/>
          <w:sz w:val="24"/>
        </w:rPr>
        <w:t>2、独立董事关于会计政策变更的独立意见</w:t>
      </w:r>
    </w:p>
    <w:p>
      <w:pPr>
        <w:spacing w:before="156" w:beforeLines="50" w:line="360" w:lineRule="auto"/>
        <w:ind w:firstLine="424" w:firstLineChars="177"/>
        <w:rPr>
          <w:rFonts w:cs="宋体"/>
          <w:sz w:val="24"/>
        </w:rPr>
      </w:pPr>
      <w:r>
        <w:rPr>
          <w:rFonts w:hint="eastAsia" w:cs="宋体"/>
          <w:sz w:val="24"/>
        </w:rPr>
        <w:t xml:space="preserve">3、第二届监事会第七次会议决议 </w:t>
      </w:r>
    </w:p>
    <w:p>
      <w:pPr>
        <w:adjustRightInd w:val="0"/>
        <w:snapToGrid w:val="0"/>
        <w:spacing w:before="156" w:beforeLines="50" w:line="360" w:lineRule="auto"/>
        <w:ind w:firstLine="424" w:firstLineChars="177"/>
        <w:rPr>
          <w:rFonts w:cs="宋体"/>
          <w:sz w:val="24"/>
        </w:rPr>
      </w:pPr>
      <w:r>
        <w:rPr>
          <w:rFonts w:hint="eastAsia" w:cs="宋体"/>
          <w:sz w:val="24"/>
        </w:rPr>
        <w:t>特此公告</w:t>
      </w:r>
    </w:p>
    <w:p>
      <w:pPr>
        <w:adjustRightInd w:val="0"/>
        <w:snapToGrid w:val="0"/>
        <w:spacing w:before="156" w:beforeLines="50" w:line="360" w:lineRule="auto"/>
        <w:ind w:firstLine="424" w:firstLineChars="177"/>
        <w:rPr>
          <w:rFonts w:cs="宋体"/>
          <w:color w:val="000000"/>
          <w:sz w:val="24"/>
        </w:rPr>
      </w:pPr>
    </w:p>
    <w:p>
      <w:pPr>
        <w:adjustRightInd w:val="0"/>
        <w:snapToGrid w:val="0"/>
        <w:spacing w:before="156" w:beforeLines="50" w:line="360" w:lineRule="auto"/>
        <w:ind w:firstLine="424" w:firstLineChars="177"/>
        <w:rPr>
          <w:rFonts w:cs="宋体"/>
          <w:sz w:val="24"/>
        </w:rPr>
      </w:pPr>
      <w:r>
        <w:rPr>
          <w:rFonts w:hint="eastAsia" w:cs="宋体"/>
          <w:color w:val="000000"/>
          <w:sz w:val="24"/>
        </w:rPr>
        <w:t xml:space="preserve">                                   兰州庄园牧场股份有限公司</w:t>
      </w:r>
      <w:r>
        <w:rPr>
          <w:rFonts w:hint="eastAsia" w:cs="宋体"/>
          <w:sz w:val="24"/>
        </w:rPr>
        <w:t>董事会</w:t>
      </w:r>
    </w:p>
    <w:p>
      <w:pPr>
        <w:adjustRightInd w:val="0"/>
        <w:snapToGrid w:val="0"/>
        <w:spacing w:before="156" w:beforeLines="50" w:line="360" w:lineRule="auto"/>
        <w:ind w:right="-56" w:rightChars="-20" w:firstLine="5940" w:firstLineChars="2475"/>
        <w:rPr>
          <w:rFonts w:cs="宋体"/>
          <w:sz w:val="24"/>
        </w:rPr>
      </w:pPr>
      <w:r>
        <w:rPr>
          <w:rFonts w:hint="eastAsia" w:cs="宋体"/>
          <w:sz w:val="24"/>
        </w:rPr>
        <w:t>2018年2月5日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C9355"/>
    <w:multiLevelType w:val="singleLevel"/>
    <w:tmpl w:val="5A4C9355"/>
    <w:lvl w:ilvl="0" w:tentative="0">
      <w:start w:val="1"/>
      <w:numFmt w:val="chineseCounting"/>
      <w:suff w:val="nothing"/>
      <w:lvlText w:val="%1、"/>
      <w:lvlJc w:val="left"/>
    </w:lvl>
  </w:abstractNum>
  <w:abstractNum w:abstractNumId="1">
    <w:nsid w:val="5A73D18C"/>
    <w:multiLevelType w:val="singleLevel"/>
    <w:tmpl w:val="5A73D18C"/>
    <w:lvl w:ilvl="0" w:tentative="0">
      <w:start w:val="4"/>
      <w:numFmt w:val="chineseCounting"/>
      <w:suff w:val="nothing"/>
      <w:lvlText w:val="（%1）"/>
      <w:lvlJc w:val="left"/>
    </w:lvl>
  </w:abstractNum>
  <w:abstractNum w:abstractNumId="2">
    <w:nsid w:val="5A73D2B8"/>
    <w:multiLevelType w:val="singleLevel"/>
    <w:tmpl w:val="5A73D2B8"/>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31ECB"/>
    <w:rsid w:val="000202FF"/>
    <w:rsid w:val="00036529"/>
    <w:rsid w:val="001761A8"/>
    <w:rsid w:val="001A55F2"/>
    <w:rsid w:val="0021115B"/>
    <w:rsid w:val="002633E3"/>
    <w:rsid w:val="003A28D8"/>
    <w:rsid w:val="004811F0"/>
    <w:rsid w:val="0051007B"/>
    <w:rsid w:val="00533BCE"/>
    <w:rsid w:val="00554016"/>
    <w:rsid w:val="005E3164"/>
    <w:rsid w:val="006A0B07"/>
    <w:rsid w:val="006B571A"/>
    <w:rsid w:val="006F4F53"/>
    <w:rsid w:val="00752710"/>
    <w:rsid w:val="00831ECB"/>
    <w:rsid w:val="008F4F96"/>
    <w:rsid w:val="009F1A7F"/>
    <w:rsid w:val="00A3332A"/>
    <w:rsid w:val="00AC2B1B"/>
    <w:rsid w:val="00C0600D"/>
    <w:rsid w:val="00D110FC"/>
    <w:rsid w:val="00D2271F"/>
    <w:rsid w:val="00EF5DB4"/>
    <w:rsid w:val="00F72023"/>
    <w:rsid w:val="00FC428B"/>
    <w:rsid w:val="03355A63"/>
    <w:rsid w:val="041D1543"/>
    <w:rsid w:val="04F34CB5"/>
    <w:rsid w:val="062B25F7"/>
    <w:rsid w:val="08A07F36"/>
    <w:rsid w:val="116D4D94"/>
    <w:rsid w:val="12AE2D4D"/>
    <w:rsid w:val="14412914"/>
    <w:rsid w:val="1DEB3956"/>
    <w:rsid w:val="1FFF4DD4"/>
    <w:rsid w:val="223C1806"/>
    <w:rsid w:val="24EF6A8B"/>
    <w:rsid w:val="25B71368"/>
    <w:rsid w:val="2A1E2FDD"/>
    <w:rsid w:val="2B14306E"/>
    <w:rsid w:val="2D1F1B17"/>
    <w:rsid w:val="2EBE3899"/>
    <w:rsid w:val="38C73E3D"/>
    <w:rsid w:val="38E96EB9"/>
    <w:rsid w:val="3B186BE2"/>
    <w:rsid w:val="3B6A0F2E"/>
    <w:rsid w:val="3E892A49"/>
    <w:rsid w:val="41FB1AD7"/>
    <w:rsid w:val="46697A32"/>
    <w:rsid w:val="498D6D6C"/>
    <w:rsid w:val="536F19F4"/>
    <w:rsid w:val="61C012E6"/>
    <w:rsid w:val="62A04923"/>
    <w:rsid w:val="67BE5085"/>
    <w:rsid w:val="68EF6C15"/>
    <w:rsid w:val="69D81D4D"/>
    <w:rsid w:val="71075015"/>
    <w:rsid w:val="718347C9"/>
    <w:rsid w:val="79BE03A7"/>
    <w:rsid w:val="7CB90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0"/>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6"/>
    <w:link w:val="5"/>
    <w:qFormat/>
    <w:uiPriority w:val="99"/>
    <w:rPr>
      <w:sz w:val="18"/>
      <w:szCs w:val="18"/>
    </w:rPr>
  </w:style>
  <w:style w:type="character" w:customStyle="1" w:styleId="9">
    <w:name w:val="页脚 Char"/>
    <w:basedOn w:val="6"/>
    <w:link w:val="4"/>
    <w:qFormat/>
    <w:uiPriority w:val="99"/>
    <w:rPr>
      <w:sz w:val="18"/>
      <w:szCs w:val="18"/>
    </w:rPr>
  </w:style>
  <w:style w:type="character" w:customStyle="1" w:styleId="10">
    <w:name w:val="批注框文本 Char"/>
    <w:basedOn w:val="6"/>
    <w:link w:val="3"/>
    <w:semiHidden/>
    <w:uiPriority w:val="99"/>
    <w:rPr>
      <w:rFonts w:ascii="宋体" w:hAnsi="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0E16E5-1ED8-4D3C-90FB-99A8D4C380C6}">
  <ds:schemaRefs/>
</ds:datastoreItem>
</file>

<file path=docProps/app.xml><?xml version="1.0" encoding="utf-8"?>
<Properties xmlns="http://schemas.openxmlformats.org/officeDocument/2006/extended-properties" xmlns:vt="http://schemas.openxmlformats.org/officeDocument/2006/docPropsVTypes">
  <Template>Normal</Template>
  <Pages>5</Pages>
  <Words>432</Words>
  <Characters>2469</Characters>
  <Lines>20</Lines>
  <Paragraphs>5</Paragraphs>
  <ScaleCrop>false</ScaleCrop>
  <LinksUpToDate>false</LinksUpToDate>
  <CharactersWithSpaces>2896</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2016-04-21T06:48:00Z</dcterms:created>
  <dc:creator>NTKO</dc:creator>
  <cp:lastModifiedBy>lailai </cp:lastModifiedBy>
  <dcterms:modified xsi:type="dcterms:W3CDTF">2018-02-05T12:08:44Z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