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2980"/>
          <w:tab w:val="left" w:pos="6100"/>
        </w:tabs>
        <w:spacing w:line="239" w:lineRule="auto"/>
        <w:rPr>
          <w:rFonts w:hint="default"/>
          <w:b/>
          <w:bCs/>
          <w:sz w:val="23"/>
          <w:szCs w:val="23"/>
        </w:rPr>
      </w:pPr>
      <w:r>
        <w:rPr>
          <w:rFonts w:ascii="宋体" w:hAnsi="宋体" w:eastAsia="宋体" w:cs="宋体"/>
          <w:b/>
          <w:bCs/>
          <w:sz w:val="24"/>
          <w:szCs w:val="24"/>
          <w:lang w:val="zh-TW" w:eastAsia="zh-TW"/>
        </w:rPr>
        <w:t>证券代码：</w:t>
      </w:r>
      <w:r>
        <w:rPr>
          <w:rFonts w:ascii="Times New Roman" w:hAnsi="Times New Roman"/>
          <w:b/>
          <w:bCs/>
          <w:sz w:val="24"/>
          <w:szCs w:val="24"/>
        </w:rPr>
        <w:t>002910</w:t>
      </w:r>
      <w:r>
        <w:rPr>
          <w:b/>
          <w:bCs/>
        </w:rPr>
        <w:tab/>
      </w:r>
      <w:r>
        <w:rPr>
          <w:rFonts w:ascii="宋体" w:hAnsi="宋体" w:eastAsia="宋体" w:cs="宋体"/>
          <w:b/>
          <w:bCs/>
          <w:sz w:val="24"/>
          <w:szCs w:val="24"/>
          <w:lang w:val="zh-TW" w:eastAsia="zh-TW"/>
        </w:rPr>
        <w:t>证券简称：庄园牧场</w:t>
      </w:r>
      <w:r>
        <w:rPr>
          <w:b/>
          <w:bCs/>
        </w:rPr>
        <w:tab/>
      </w:r>
      <w:r>
        <w:rPr>
          <w:rFonts w:ascii="宋体" w:hAnsi="宋体" w:eastAsia="宋体" w:cs="宋体"/>
          <w:b/>
          <w:bCs/>
          <w:sz w:val="23"/>
          <w:szCs w:val="23"/>
          <w:lang w:val="zh-TW" w:eastAsia="zh-TW"/>
        </w:rPr>
        <w:t>公告编号：</w:t>
      </w:r>
      <w:r>
        <w:rPr>
          <w:rFonts w:ascii="Times New Roman" w:hAnsi="Times New Roman"/>
          <w:b/>
          <w:bCs/>
          <w:sz w:val="23"/>
          <w:szCs w:val="23"/>
          <w:highlight w:val="none"/>
        </w:rPr>
        <w:t>2018-004</w:t>
      </w:r>
    </w:p>
    <w:p>
      <w:pPr>
        <w:spacing w:line="200" w:lineRule="exact"/>
        <w:rPr>
          <w:rFonts w:hint="default"/>
          <w:sz w:val="24"/>
          <w:szCs w:val="24"/>
        </w:rPr>
      </w:pPr>
    </w:p>
    <w:p>
      <w:pPr>
        <w:spacing w:line="200" w:lineRule="exact"/>
        <w:rPr>
          <w:rFonts w:hint="default"/>
          <w:sz w:val="24"/>
          <w:szCs w:val="24"/>
        </w:rPr>
      </w:pPr>
    </w:p>
    <w:p>
      <w:pPr>
        <w:spacing w:line="247" w:lineRule="exact"/>
        <w:rPr>
          <w:rFonts w:hint="default"/>
          <w:sz w:val="24"/>
          <w:szCs w:val="24"/>
        </w:rPr>
      </w:pPr>
    </w:p>
    <w:p>
      <w:pPr>
        <w:spacing w:line="20" w:lineRule="atLeast"/>
        <w:ind w:left="1980"/>
        <w:rPr>
          <w:rFonts w:hint="default" w:ascii="宋体" w:hAnsi="宋体" w:eastAsia="宋体" w:cs="宋体"/>
          <w:b/>
          <w:bCs/>
          <w:sz w:val="36"/>
          <w:szCs w:val="36"/>
          <w:lang w:val="zh-TW" w:eastAsia="zh-TW"/>
        </w:rPr>
      </w:pPr>
      <w:r>
        <w:rPr>
          <w:rFonts w:ascii="宋体" w:hAnsi="宋体" w:eastAsia="宋体" w:cs="宋体"/>
          <w:b/>
          <w:bCs/>
          <w:sz w:val="36"/>
          <w:szCs w:val="36"/>
          <w:lang w:val="zh-TW" w:eastAsia="zh-TW"/>
        </w:rPr>
        <w:t>兰州庄园牧场股份有限公司</w:t>
      </w:r>
    </w:p>
    <w:p>
      <w:pPr>
        <w:spacing w:line="213" w:lineRule="exact"/>
        <w:rPr>
          <w:rFonts w:hint="default"/>
          <w:sz w:val="24"/>
          <w:szCs w:val="24"/>
        </w:rPr>
      </w:pPr>
    </w:p>
    <w:p>
      <w:pPr>
        <w:spacing w:line="20" w:lineRule="atLeast"/>
        <w:jc w:val="center"/>
        <w:rPr>
          <w:rFonts w:hint="default" w:ascii="宋体" w:hAnsi="宋体" w:eastAsia="宋体" w:cs="宋体"/>
          <w:b/>
          <w:bCs/>
          <w:sz w:val="36"/>
          <w:szCs w:val="36"/>
          <w:lang w:val="zh-TW" w:eastAsia="zh-TW"/>
        </w:rPr>
      </w:pPr>
      <w:r>
        <w:rPr>
          <w:rFonts w:ascii="宋体" w:hAnsi="宋体" w:eastAsia="宋体" w:cs="宋体"/>
          <w:b/>
          <w:bCs/>
          <w:sz w:val="36"/>
          <w:szCs w:val="36"/>
          <w:lang w:val="zh-TW"/>
        </w:rPr>
        <w:t>第二届监事会</w:t>
      </w:r>
      <w:r>
        <w:rPr>
          <w:rFonts w:ascii="宋体" w:hAnsi="宋体" w:eastAsia="宋体" w:cs="宋体"/>
          <w:b/>
          <w:bCs/>
          <w:sz w:val="36"/>
          <w:szCs w:val="36"/>
          <w:lang w:val="zh-TW" w:eastAsia="zh-TW"/>
        </w:rPr>
        <w:t>第</w:t>
      </w:r>
      <w:r>
        <w:rPr>
          <w:rFonts w:ascii="宋体" w:hAnsi="宋体" w:eastAsia="宋体" w:cs="宋体"/>
          <w:b/>
          <w:bCs/>
          <w:sz w:val="36"/>
          <w:szCs w:val="36"/>
          <w:lang w:val="zh-TW"/>
        </w:rPr>
        <w:t>七</w:t>
      </w:r>
      <w:r>
        <w:rPr>
          <w:rFonts w:ascii="宋体" w:hAnsi="宋体" w:eastAsia="宋体" w:cs="宋体"/>
          <w:b/>
          <w:bCs/>
          <w:sz w:val="36"/>
          <w:szCs w:val="36"/>
          <w:lang w:val="zh-TW" w:eastAsia="zh-TW"/>
        </w:rPr>
        <w:t>次会议决议公告</w:t>
      </w:r>
    </w:p>
    <w:p>
      <w:pPr>
        <w:spacing w:line="200" w:lineRule="exact"/>
        <w:rPr>
          <w:rFonts w:hint="default"/>
          <w:sz w:val="24"/>
          <w:szCs w:val="24"/>
        </w:rPr>
      </w:pPr>
      <w:r>
        <w:rPr>
          <w:rFonts w:hint="default" w:ascii="宋体" w:hAnsi="宋体" w:eastAsia="宋体" w:cs="宋体"/>
          <w:b/>
          <w:bCs/>
          <w:sz w:val="36"/>
          <w:szCs w:val="36"/>
        </w:rPr>
        <mc:AlternateContent>
          <mc:Choice Requires="wps">
            <w:drawing>
              <wp:anchor distT="0" distB="0" distL="114300" distR="114300" simplePos="0" relativeHeight="251654144" behindDoc="1" locked="0" layoutInCell="1" allowOverlap="1">
                <wp:simplePos x="0" y="0"/>
                <wp:positionH relativeFrom="column">
                  <wp:posOffset>5792470</wp:posOffset>
                </wp:positionH>
                <wp:positionV relativeFrom="line">
                  <wp:posOffset>354330</wp:posOffset>
                </wp:positionV>
                <wp:extent cx="0" cy="839470"/>
                <wp:effectExtent l="6350" t="0" r="12700" b="17780"/>
                <wp:wrapNone/>
                <wp:docPr id="4" name="Line 2"/>
                <wp:cNvGraphicFramePr/>
                <a:graphic xmlns:a="http://schemas.openxmlformats.org/drawingml/2006/main">
                  <a:graphicData uri="http://schemas.microsoft.com/office/word/2010/wordprocessingShape">
                    <wps:wsp>
                      <wps:cNvCnPr>
                        <a:cxnSpLocks noChangeShapeType="1"/>
                      </wps:cNvCnPr>
                      <wps:spPr bwMode="auto">
                        <a:xfrm>
                          <a:off x="0" y="0"/>
                          <a:ext cx="0" cy="839470"/>
                        </a:xfrm>
                        <a:prstGeom prst="line">
                          <a:avLst/>
                        </a:prstGeom>
                        <a:noFill/>
                        <a:ln w="12700">
                          <a:solidFill>
                            <a:srgbClr val="000000"/>
                          </a:solidFill>
                          <a:round/>
                        </a:ln>
                      </wps:spPr>
                      <wps:bodyPr/>
                    </wps:wsp>
                  </a:graphicData>
                </a:graphic>
              </wp:anchor>
            </w:drawing>
          </mc:Choice>
          <mc:Fallback>
            <w:pict>
              <v:line id="Line 2" o:spid="_x0000_s1026" o:spt="20" style="position:absolute;left:0pt;margin-left:456.1pt;margin-top:27.9pt;height:66.1pt;width:0pt;mso-position-vertical-relative:line;z-index:-251662336;mso-width-relative:page;mso-height-relative:page;" filled="f" stroked="t" coordsize="21600,21600" o:gfxdata="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">
                <v:fill on="f" focussize="0,0"/>
                <v:stroke weight="1pt" color="#000000" joinstyle="round"/>
                <v:imagedata o:title=""/>
                <o:lock v:ext="edit" aspectratio="f"/>
              </v:line>
            </w:pict>
          </mc:Fallback>
        </mc:AlternateContent>
      </w:r>
      <w:r>
        <w:rPr>
          <w:rFonts w:hint="default" w:ascii="宋体" w:hAnsi="宋体" w:eastAsia="宋体" w:cs="宋体"/>
          <w:b/>
          <w:bCs/>
          <w:sz w:val="36"/>
          <w:szCs w:val="36"/>
        </w:rPr>
        <mc:AlternateContent>
          <mc:Choice Requires="wps">
            <w:drawing>
              <wp:anchor distT="0" distB="0" distL="114300" distR="114300" simplePos="0" relativeHeight="251655168" behindDoc="1" locked="0" layoutInCell="1" allowOverlap="1">
                <wp:simplePos x="0" y="0"/>
                <wp:positionH relativeFrom="column">
                  <wp:posOffset>-452120</wp:posOffset>
                </wp:positionH>
                <wp:positionV relativeFrom="line">
                  <wp:posOffset>354330</wp:posOffset>
                </wp:positionV>
                <wp:extent cx="6257290" cy="0"/>
                <wp:effectExtent l="0" t="0" r="0" b="0"/>
                <wp:wrapNone/>
                <wp:docPr id="3" name="Line 3"/>
                <wp:cNvGraphicFramePr/>
                <a:graphic xmlns:a="http://schemas.openxmlformats.org/drawingml/2006/main">
                  <a:graphicData uri="http://schemas.microsoft.com/office/word/2010/wordprocessingShape">
                    <wps:wsp>
                      <wps:cNvCnPr>
                        <a:cxnSpLocks noChangeShapeType="1"/>
                      </wps:cNvCnPr>
                      <wps:spPr bwMode="auto">
                        <a:xfrm>
                          <a:off x="0" y="0"/>
                          <a:ext cx="6257290" cy="0"/>
                        </a:xfrm>
                        <a:prstGeom prst="line">
                          <a:avLst/>
                        </a:prstGeom>
                        <a:noFill/>
                        <a:ln w="12700">
                          <a:solidFill>
                            <a:srgbClr val="000000"/>
                          </a:solidFill>
                          <a:round/>
                        </a:ln>
                      </wps:spPr>
                      <wps:bodyPr/>
                    </wps:wsp>
                  </a:graphicData>
                </a:graphic>
              </wp:anchor>
            </w:drawing>
          </mc:Choice>
          <mc:Fallback>
            <w:pict>
              <v:line id="Line 3" o:spid="_x0000_s1026" o:spt="20" style="position:absolute;left:0pt;margin-left:-35.6pt;margin-top:27.9pt;height:0pt;width:492.7pt;mso-position-vertical-relative:line;z-index:-251661312;mso-width-relative:page;mso-height-relative:page;" filled="f" stroked="t" coordsize="21600,21600" o:gfxdata="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G3tbNrX&#10;AAAACQEAAA8AAAAAAAAAAQAgAAAAIgAAAGRycy9kb3ducmV2LnhtbFBLAQIUABQAAAAIAIdO4kCR&#10;3jtIrwEAAFIDAAAOAAAAAAAAAAEAIAAAACYBAABkcnMvZTJvRG9jLnhtbFBLBQYAAAAABgAGAFkB&#10;AABHBQAAAAA=&#10;">
                <v:fill on="f" focussize="0,0"/>
                <v:stroke weight="1pt" color="#000000" joinstyle="round"/>
                <v:imagedata o:title=""/>
                <o:lock v:ext="edit" aspectratio="f"/>
              </v:line>
            </w:pict>
          </mc:Fallback>
        </mc:AlternateContent>
      </w:r>
      <w:r>
        <w:rPr>
          <w:rFonts w:hint="default" w:ascii="宋体" w:hAnsi="宋体" w:eastAsia="宋体" w:cs="宋体"/>
          <w:b/>
          <w:bCs/>
          <w:sz w:val="36"/>
          <w:szCs w:val="36"/>
        </w:rPr>
        <mc:AlternateContent>
          <mc:Choice Requires="wps">
            <w:drawing>
              <wp:anchor distT="0" distB="0" distL="114300" distR="114300" simplePos="0" relativeHeight="251656192" behindDoc="1" locked="0" layoutInCell="1" allowOverlap="1">
                <wp:simplePos x="0" y="0"/>
                <wp:positionH relativeFrom="column">
                  <wp:posOffset>-450850</wp:posOffset>
                </wp:positionH>
                <wp:positionV relativeFrom="line">
                  <wp:posOffset>354330</wp:posOffset>
                </wp:positionV>
                <wp:extent cx="0" cy="839470"/>
                <wp:effectExtent l="6350" t="0" r="12700" b="17780"/>
                <wp:wrapNone/>
                <wp:docPr id="2" name="Line 4"/>
                <wp:cNvGraphicFramePr/>
                <a:graphic xmlns:a="http://schemas.openxmlformats.org/drawingml/2006/main">
                  <a:graphicData uri="http://schemas.microsoft.com/office/word/2010/wordprocessingShape">
                    <wps:wsp>
                      <wps:cNvCnPr>
                        <a:cxnSpLocks noChangeShapeType="1"/>
                      </wps:cNvCnPr>
                      <wps:spPr bwMode="auto">
                        <a:xfrm flipH="1">
                          <a:off x="0" y="0"/>
                          <a:ext cx="0" cy="839470"/>
                        </a:xfrm>
                        <a:prstGeom prst="line">
                          <a:avLst/>
                        </a:prstGeom>
                        <a:noFill/>
                        <a:ln w="12700">
                          <a:solidFill>
                            <a:srgbClr val="000000"/>
                          </a:solidFill>
                          <a:round/>
                        </a:ln>
                      </wps:spPr>
                      <wps:bodyPr/>
                    </wps:wsp>
                  </a:graphicData>
                </a:graphic>
              </wp:anchor>
            </w:drawing>
          </mc:Choice>
          <mc:Fallback>
            <w:pict>
              <v:line id="Line 4" o:spid="_x0000_s1026" o:spt="20" style="position:absolute;left:0pt;flip:x;margin-left:-35.5pt;margin-top:27.9pt;height:66.1pt;width:0pt;mso-position-vertical-relative:line;z-index:-251660288;mso-width-relative:page;mso-height-relative:page;" filled="f" stroked="t" coordsize="21600,21600" o:gfxdata="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OAU3edcAAAAKAQAADwAAAAAAAAABACAAAAAiAAAAZHJzL2Rvd25yZXYueG1sUEsBAhQAFAAAAAgA&#10;h07iQKCCOCm0AQAAWwMAAA4AAAAAAAAAAQAgAAAAJgEAAGRycy9lMm9Eb2MueG1sUEsFBgAAAAAG&#10;AAYAWQEAAEwFAAAAAA==&#10;">
                <v:fill on="f" focussize="0,0"/>
                <v:stroke weight="1pt" color="#000000" joinstyle="round"/>
                <v:imagedata o:title=""/>
                <o:lock v:ext="edit" aspectratio="f"/>
              </v:line>
            </w:pict>
          </mc:Fallback>
        </mc:AlternateContent>
      </w:r>
      <w:r>
        <w:rPr>
          <w:rFonts w:hint="default" w:ascii="宋体" w:hAnsi="宋体" w:eastAsia="宋体" w:cs="宋体"/>
          <w:b/>
          <w:bCs/>
          <w:sz w:val="36"/>
          <w:szCs w:val="36"/>
        </w:rPr>
        <mc:AlternateContent>
          <mc:Choice Requires="wps">
            <w:drawing>
              <wp:anchor distT="0" distB="0" distL="114300" distR="114300" simplePos="0" relativeHeight="251657216" behindDoc="1" locked="0" layoutInCell="1" allowOverlap="1">
                <wp:simplePos x="0" y="0"/>
                <wp:positionH relativeFrom="column">
                  <wp:posOffset>-452120</wp:posOffset>
                </wp:positionH>
                <wp:positionV relativeFrom="line">
                  <wp:posOffset>1181100</wp:posOffset>
                </wp:positionV>
                <wp:extent cx="6257290" cy="0"/>
                <wp:effectExtent l="0" t="0" r="0" b="0"/>
                <wp:wrapNone/>
                <wp:docPr id="1" name="Line 5"/>
                <wp:cNvGraphicFramePr/>
                <a:graphic xmlns:a="http://schemas.openxmlformats.org/drawingml/2006/main">
                  <a:graphicData uri="http://schemas.microsoft.com/office/word/2010/wordprocessingShape">
                    <wps:wsp>
                      <wps:cNvCnPr>
                        <a:cxnSpLocks noChangeShapeType="1"/>
                      </wps:cNvCnPr>
                      <wps:spPr bwMode="auto">
                        <a:xfrm>
                          <a:off x="0" y="0"/>
                          <a:ext cx="6257290" cy="0"/>
                        </a:xfrm>
                        <a:prstGeom prst="line">
                          <a:avLst/>
                        </a:prstGeom>
                        <a:noFill/>
                        <a:ln w="12700">
                          <a:solidFill>
                            <a:srgbClr val="000000"/>
                          </a:solidFill>
                          <a:round/>
                        </a:ln>
                      </wps:spPr>
                      <wps:bodyPr/>
                    </wps:wsp>
                  </a:graphicData>
                </a:graphic>
              </wp:anchor>
            </w:drawing>
          </mc:Choice>
          <mc:Fallback>
            <w:pict>
              <v:line id="Line 5" o:spid="_x0000_s1026" o:spt="20" style="position:absolute;left:0pt;margin-left:-35.6pt;margin-top:93pt;height:0pt;width:492.7pt;mso-position-vertical-relative:line;z-index:-251659264;mso-width-relative:page;mso-height-relative:page;" filled="f" stroked="t" coordsize="21600,21600" o:gfxdata="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">
                <v:fill on="f" focussize="0,0"/>
                <v:stroke weight="1pt" color="#000000" joinstyle="round"/>
                <v:imagedata o:title=""/>
                <o:lock v:ext="edit" aspectratio="f"/>
              </v:line>
            </w:pict>
          </mc:Fallback>
        </mc:AlternateContent>
      </w:r>
    </w:p>
    <w:p>
      <w:pPr>
        <w:spacing w:line="200" w:lineRule="exact"/>
        <w:rPr>
          <w:rFonts w:hint="default"/>
          <w:sz w:val="24"/>
          <w:szCs w:val="24"/>
        </w:rPr>
      </w:pPr>
    </w:p>
    <w:p>
      <w:pPr>
        <w:spacing w:line="200" w:lineRule="exact"/>
        <w:rPr>
          <w:rFonts w:hint="default"/>
          <w:sz w:val="24"/>
          <w:szCs w:val="24"/>
        </w:rPr>
      </w:pPr>
    </w:p>
    <w:p>
      <w:pPr>
        <w:spacing w:line="235" w:lineRule="exact"/>
        <w:rPr>
          <w:rFonts w:hint="default"/>
          <w:sz w:val="24"/>
          <w:szCs w:val="24"/>
        </w:rPr>
      </w:pPr>
    </w:p>
    <w:p>
      <w:pPr>
        <w:spacing w:line="20" w:lineRule="atLeast"/>
        <w:ind w:left="480"/>
        <w:rPr>
          <w:rFonts w:hint="default" w:ascii="宋体" w:hAnsi="宋体" w:eastAsia="宋体" w:cs="宋体"/>
          <w:b/>
          <w:bCs/>
          <w:sz w:val="24"/>
          <w:szCs w:val="24"/>
          <w:lang w:val="zh-TW" w:eastAsia="zh-TW"/>
        </w:rPr>
      </w:pPr>
      <w:r>
        <w:rPr>
          <w:rFonts w:ascii="宋体" w:hAnsi="宋体" w:eastAsia="宋体" w:cs="宋体"/>
          <w:b/>
          <w:bCs/>
          <w:sz w:val="24"/>
          <w:szCs w:val="24"/>
          <w:lang w:val="zh-TW" w:eastAsia="zh-TW"/>
        </w:rPr>
        <w:t>本公司及董事会全体成员保证公告内容的真实、准确和完整，没有虚假记</w:t>
      </w:r>
    </w:p>
    <w:p>
      <w:pPr>
        <w:spacing w:line="194" w:lineRule="exact"/>
        <w:rPr>
          <w:rFonts w:hint="default"/>
          <w:sz w:val="24"/>
          <w:szCs w:val="24"/>
        </w:rPr>
      </w:pPr>
    </w:p>
    <w:p>
      <w:pPr>
        <w:spacing w:line="20" w:lineRule="atLeast"/>
        <w:rPr>
          <w:rFonts w:hint="default" w:ascii="宋体" w:hAnsi="宋体" w:eastAsia="宋体" w:cs="宋体"/>
          <w:b/>
          <w:bCs/>
          <w:sz w:val="24"/>
          <w:szCs w:val="24"/>
          <w:lang w:val="zh-TW" w:eastAsia="zh-TW"/>
        </w:rPr>
      </w:pPr>
      <w:r>
        <w:rPr>
          <w:rFonts w:ascii="宋体" w:hAnsi="宋体" w:eastAsia="宋体" w:cs="宋体"/>
          <w:b/>
          <w:bCs/>
          <w:sz w:val="24"/>
          <w:szCs w:val="24"/>
          <w:lang w:val="zh-TW" w:eastAsia="zh-TW"/>
        </w:rPr>
        <w:t>载、误导性陈述或重大遗漏。</w:t>
      </w:r>
    </w:p>
    <w:p>
      <w:pPr>
        <w:spacing w:line="200" w:lineRule="exact"/>
        <w:rPr>
          <w:rFonts w:hint="default"/>
          <w:sz w:val="24"/>
          <w:szCs w:val="24"/>
        </w:rPr>
      </w:pPr>
    </w:p>
    <w:p>
      <w:pPr>
        <w:numPr>
          <w:ilvl w:val="0"/>
          <w:numId w:val="1"/>
        </w:numPr>
        <w:tabs>
          <w:tab w:val="left" w:pos="2980"/>
          <w:tab w:val="left" w:pos="6100"/>
        </w:tabs>
        <w:spacing w:before="156" w:beforeLines="50" w:line="360" w:lineRule="auto"/>
        <w:jc w:val="both"/>
        <w:rPr>
          <w:rFonts w:hint="default" w:ascii="宋体" w:hAnsi="宋体" w:eastAsia="宋体" w:cs="宋体"/>
          <w:b/>
          <w:bCs/>
          <w:sz w:val="24"/>
          <w:szCs w:val="24"/>
          <w:lang w:val="zh-TW" w:eastAsia="zh-TW"/>
        </w:rPr>
      </w:pPr>
      <w:r>
        <w:rPr>
          <w:rFonts w:ascii="宋体" w:hAnsi="宋体" w:eastAsia="宋体" w:cs="宋体"/>
          <w:b/>
          <w:bCs/>
          <w:sz w:val="24"/>
          <w:szCs w:val="24"/>
          <w:lang w:val="zh-TW"/>
        </w:rPr>
        <w:t>监事</w:t>
      </w:r>
      <w:r>
        <w:rPr>
          <w:rFonts w:ascii="宋体" w:hAnsi="宋体" w:eastAsia="宋体" w:cs="宋体"/>
          <w:b/>
          <w:bCs/>
          <w:sz w:val="24"/>
          <w:szCs w:val="24"/>
          <w:lang w:val="zh-TW" w:eastAsia="zh-TW"/>
        </w:rPr>
        <w:t>会会议召开情况</w:t>
      </w:r>
    </w:p>
    <w:p>
      <w:pPr>
        <w:numPr>
          <w:ilvl w:val="0"/>
          <w:numId w:val="2"/>
        </w:numPr>
        <w:tabs>
          <w:tab w:val="left" w:pos="2980"/>
          <w:tab w:val="left" w:pos="6100"/>
        </w:tabs>
        <w:spacing w:before="156" w:beforeLines="50" w:line="360" w:lineRule="auto"/>
        <w:ind w:firstLine="480"/>
        <w:jc w:val="both"/>
        <w:rPr>
          <w:rFonts w:hint="default" w:ascii="宋体" w:hAnsi="宋体" w:eastAsia="宋体" w:cs="宋体"/>
          <w:sz w:val="24"/>
          <w:szCs w:val="24"/>
        </w:rPr>
      </w:pPr>
      <w:r>
        <w:rPr>
          <w:rFonts w:ascii="宋体" w:hAnsi="宋体" w:eastAsia="宋体" w:cs="宋体"/>
          <w:sz w:val="24"/>
          <w:szCs w:val="24"/>
        </w:rPr>
        <w:t>兰州庄园牧场股份有限公司（以下简称“公司”或“庄园牧场”）第二届监事会第七次会议（以下简称“本次会议”）通知以书面或邮件方式及时向各位监事发出。</w:t>
      </w:r>
    </w:p>
    <w:p>
      <w:pPr>
        <w:tabs>
          <w:tab w:val="left" w:pos="2980"/>
          <w:tab w:val="left" w:pos="6100"/>
        </w:tabs>
        <w:spacing w:before="156" w:beforeLines="50" w:line="360" w:lineRule="auto"/>
        <w:ind w:firstLine="480" w:firstLineChars="200"/>
        <w:jc w:val="both"/>
        <w:rPr>
          <w:rFonts w:hint="default" w:ascii="宋体" w:hAnsi="宋体" w:eastAsia="宋体" w:cs="宋体"/>
          <w:sz w:val="24"/>
          <w:szCs w:val="24"/>
        </w:rPr>
      </w:pPr>
      <w:r>
        <w:rPr>
          <w:rFonts w:ascii="宋体" w:hAnsi="宋体" w:eastAsia="宋体" w:cs="宋体"/>
          <w:sz w:val="24"/>
          <w:szCs w:val="24"/>
        </w:rPr>
        <w:t>2</w:t>
      </w:r>
      <w:r>
        <w:rPr>
          <w:rFonts w:ascii="宋体" w:hAnsi="宋体" w:eastAsia="宋体" w:cs="宋体"/>
          <w:sz w:val="24"/>
          <w:szCs w:val="24"/>
          <w:lang w:val="zh-TW" w:eastAsia="zh-TW"/>
        </w:rPr>
        <w:t>、</w:t>
      </w:r>
      <w:r>
        <w:rPr>
          <w:rFonts w:ascii="宋体" w:hAnsi="宋体" w:eastAsia="宋体" w:cs="宋体"/>
          <w:sz w:val="24"/>
          <w:szCs w:val="24"/>
        </w:rPr>
        <w:t>本次会议于2018年2月5日在公司总部二楼会议室召开，会议采取以现场表决和通讯表决相结合的方式召开。</w:t>
      </w:r>
    </w:p>
    <w:p>
      <w:pPr>
        <w:tabs>
          <w:tab w:val="left" w:pos="2980"/>
          <w:tab w:val="left" w:pos="6100"/>
        </w:tabs>
        <w:spacing w:before="156" w:beforeLines="50" w:line="360" w:lineRule="auto"/>
        <w:ind w:firstLine="480"/>
        <w:jc w:val="both"/>
        <w:rPr>
          <w:rFonts w:hint="default" w:ascii="宋体" w:hAnsi="宋体" w:eastAsia="宋体" w:cs="宋体"/>
          <w:sz w:val="24"/>
          <w:szCs w:val="24"/>
          <w:highlight w:val="none"/>
        </w:rPr>
      </w:pPr>
      <w:r>
        <w:rPr>
          <w:rFonts w:ascii="宋体" w:hAnsi="宋体" w:eastAsia="宋体" w:cs="宋体"/>
          <w:sz w:val="24"/>
          <w:szCs w:val="24"/>
        </w:rPr>
        <w:t>3</w:t>
      </w:r>
      <w:r>
        <w:rPr>
          <w:rFonts w:ascii="宋体" w:hAnsi="宋体" w:eastAsia="宋体" w:cs="宋体"/>
          <w:sz w:val="24"/>
          <w:szCs w:val="24"/>
          <w:lang w:val="zh-TW" w:eastAsia="zh-TW"/>
        </w:rPr>
        <w:t>、</w:t>
      </w:r>
      <w:r>
        <w:rPr>
          <w:rFonts w:ascii="宋体" w:hAnsi="宋体" w:eastAsia="宋体" w:cs="宋体"/>
          <w:sz w:val="24"/>
          <w:szCs w:val="24"/>
        </w:rPr>
        <w:t>本次会议应到监事3名，实际出席并表决的监事3名</w:t>
      </w:r>
      <w:r>
        <w:rPr>
          <w:rFonts w:ascii="宋体" w:hAnsi="宋体" w:eastAsia="宋体" w:cs="宋体"/>
          <w:sz w:val="24"/>
          <w:szCs w:val="24"/>
          <w:highlight w:val="none"/>
        </w:rPr>
        <w:t>（其中监事魏琳、杜魏参加现场表决；监事潘锦以通讯表决方式出席会议）。</w:t>
      </w:r>
    </w:p>
    <w:p>
      <w:pPr>
        <w:tabs>
          <w:tab w:val="left" w:pos="2980"/>
          <w:tab w:val="left" w:pos="6100"/>
        </w:tabs>
        <w:spacing w:before="156" w:beforeLines="50" w:line="360" w:lineRule="auto"/>
        <w:ind w:firstLine="480"/>
        <w:jc w:val="both"/>
        <w:rPr>
          <w:rFonts w:hint="default" w:ascii="宋体" w:hAnsi="宋体" w:eastAsia="宋体" w:cs="宋体"/>
          <w:sz w:val="24"/>
          <w:szCs w:val="24"/>
        </w:rPr>
      </w:pPr>
      <w:r>
        <w:rPr>
          <w:rFonts w:ascii="宋体" w:hAnsi="宋体" w:eastAsia="宋体" w:cs="宋体"/>
          <w:sz w:val="24"/>
          <w:szCs w:val="24"/>
        </w:rPr>
        <w:t>4</w:t>
      </w:r>
      <w:r>
        <w:rPr>
          <w:rFonts w:ascii="宋体" w:hAnsi="宋体" w:eastAsia="宋体" w:cs="宋体"/>
          <w:sz w:val="24"/>
          <w:szCs w:val="24"/>
          <w:lang w:val="zh-TW" w:eastAsia="zh-TW"/>
        </w:rPr>
        <w:t>、</w:t>
      </w:r>
      <w:r>
        <w:rPr>
          <w:rFonts w:ascii="宋体" w:hAnsi="宋体" w:eastAsia="宋体" w:cs="宋体"/>
          <w:sz w:val="24"/>
          <w:szCs w:val="24"/>
        </w:rPr>
        <w:t xml:space="preserve">公司监事会主席魏琳先生主持了会议。 </w:t>
      </w:r>
    </w:p>
    <w:p>
      <w:pPr>
        <w:tabs>
          <w:tab w:val="left" w:pos="2980"/>
          <w:tab w:val="left" w:pos="6100"/>
        </w:tabs>
        <w:spacing w:before="156" w:beforeLines="50" w:line="360" w:lineRule="auto"/>
        <w:ind w:firstLine="480"/>
        <w:jc w:val="both"/>
        <w:rPr>
          <w:rFonts w:hint="default" w:ascii="宋体" w:hAnsi="宋体" w:eastAsia="宋体" w:cs="宋体"/>
          <w:sz w:val="24"/>
          <w:szCs w:val="24"/>
        </w:rPr>
      </w:pPr>
      <w:r>
        <w:rPr>
          <w:rFonts w:ascii="宋体" w:hAnsi="宋体" w:eastAsia="宋体" w:cs="宋体"/>
          <w:sz w:val="24"/>
          <w:szCs w:val="24"/>
        </w:rPr>
        <w:t>5</w:t>
      </w:r>
      <w:r>
        <w:rPr>
          <w:rFonts w:ascii="宋体" w:hAnsi="宋体" w:eastAsia="宋体" w:cs="宋体"/>
          <w:sz w:val="24"/>
          <w:szCs w:val="24"/>
          <w:lang w:val="zh-TW" w:eastAsia="zh-TW"/>
        </w:rPr>
        <w:t>、</w:t>
      </w:r>
      <w:r>
        <w:rPr>
          <w:rFonts w:ascii="宋体" w:hAnsi="宋体" w:eastAsia="宋体" w:cs="宋体"/>
          <w:sz w:val="24"/>
          <w:szCs w:val="24"/>
        </w:rPr>
        <w:t>本次会议的通知、召集和召开符合《中华人民共和国公司法》等法律、行政法规、部门规章、规范性文件及《兰州庄园牧场股份有限公司章程》的有关规定。</w:t>
      </w:r>
    </w:p>
    <w:p>
      <w:pPr>
        <w:tabs>
          <w:tab w:val="left" w:pos="2980"/>
          <w:tab w:val="left" w:pos="6100"/>
        </w:tabs>
        <w:spacing w:before="156" w:beforeLines="50" w:line="360" w:lineRule="auto"/>
        <w:jc w:val="both"/>
        <w:rPr>
          <w:rFonts w:hint="default" w:ascii="宋体" w:hAnsi="宋体" w:eastAsia="宋体" w:cs="宋体"/>
          <w:b/>
          <w:bCs/>
          <w:sz w:val="24"/>
          <w:szCs w:val="24"/>
          <w:lang w:val="zh-TW" w:eastAsia="zh-TW"/>
        </w:rPr>
      </w:pPr>
      <w:r>
        <w:rPr>
          <w:rFonts w:ascii="宋体" w:hAnsi="宋体" w:eastAsia="宋体" w:cs="宋体"/>
          <w:b/>
          <w:bCs/>
          <w:sz w:val="24"/>
          <w:szCs w:val="24"/>
          <w:lang w:val="zh-TW" w:eastAsia="zh-TW"/>
        </w:rPr>
        <w:t>二、</w:t>
      </w:r>
      <w:r>
        <w:rPr>
          <w:rFonts w:ascii="宋体" w:hAnsi="宋体" w:eastAsia="宋体" w:cs="宋体"/>
          <w:b/>
          <w:bCs/>
          <w:sz w:val="24"/>
          <w:szCs w:val="24"/>
          <w:lang w:val="zh-TW"/>
        </w:rPr>
        <w:t>监</w:t>
      </w:r>
      <w:r>
        <w:rPr>
          <w:rFonts w:ascii="宋体" w:hAnsi="宋体" w:eastAsia="宋体" w:cs="宋体"/>
          <w:b/>
          <w:bCs/>
          <w:sz w:val="24"/>
          <w:szCs w:val="24"/>
          <w:lang w:val="zh-TW" w:eastAsia="zh-TW"/>
        </w:rPr>
        <w:t>事会会议审议情况</w:t>
      </w:r>
    </w:p>
    <w:p>
      <w:pPr>
        <w:tabs>
          <w:tab w:val="left" w:pos="2980"/>
          <w:tab w:val="left" w:pos="6100"/>
        </w:tabs>
        <w:spacing w:before="156" w:beforeLines="50" w:line="360" w:lineRule="auto"/>
        <w:ind w:firstLine="480" w:firstLineChars="200"/>
        <w:jc w:val="both"/>
        <w:rPr>
          <w:rFonts w:hint="default" w:ascii="宋体" w:hAnsi="宋体" w:eastAsia="宋体" w:cs="宋体"/>
          <w:sz w:val="24"/>
          <w:szCs w:val="24"/>
        </w:rPr>
      </w:pPr>
      <w:r>
        <w:rPr>
          <w:rFonts w:ascii="宋体" w:hAnsi="宋体" w:eastAsia="宋体" w:cs="宋体"/>
          <w:sz w:val="24"/>
          <w:szCs w:val="24"/>
        </w:rPr>
        <w:t>1、审议通过《关于公司仅采用内地会计准则编制财务报表的议案》</w:t>
      </w:r>
    </w:p>
    <w:p>
      <w:pPr>
        <w:tabs>
          <w:tab w:val="left" w:pos="2980"/>
          <w:tab w:val="left" w:pos="6100"/>
        </w:tabs>
        <w:spacing w:before="156" w:beforeLines="50" w:line="360" w:lineRule="auto"/>
        <w:ind w:firstLine="480"/>
        <w:jc w:val="both"/>
        <w:rPr>
          <w:rFonts w:hint="default" w:ascii="宋体" w:hAnsi="宋体" w:eastAsia="宋体" w:cs="宋体"/>
          <w:sz w:val="24"/>
          <w:szCs w:val="24"/>
        </w:rPr>
      </w:pPr>
      <w:r>
        <w:rPr>
          <w:rFonts w:ascii="宋体" w:hAnsi="宋体" w:eastAsia="宋体" w:cs="宋体"/>
          <w:sz w:val="24"/>
          <w:szCs w:val="24"/>
        </w:rPr>
        <w:t>表决情况：3票同意、0票反对、0票弃权</w:t>
      </w:r>
    </w:p>
    <w:p>
      <w:pPr>
        <w:tabs>
          <w:tab w:val="left" w:pos="2980"/>
          <w:tab w:val="left" w:pos="6100"/>
        </w:tabs>
        <w:spacing w:before="156" w:beforeLines="50" w:line="360" w:lineRule="auto"/>
        <w:ind w:firstLine="480"/>
        <w:jc w:val="both"/>
        <w:rPr>
          <w:rFonts w:hint="default" w:ascii="宋体" w:hAnsi="宋体" w:eastAsia="宋体" w:cs="宋体"/>
          <w:sz w:val="24"/>
          <w:szCs w:val="24"/>
        </w:rPr>
      </w:pPr>
      <w:r>
        <w:rPr>
          <w:rFonts w:ascii="宋体" w:hAnsi="宋体" w:eastAsia="宋体" w:cs="宋体"/>
          <w:sz w:val="24"/>
          <w:szCs w:val="24"/>
        </w:rPr>
        <w:t>经审议，监事会成员一致同意公司仅采用内地的企业会计准则编制单一份财务报表，而不再另外编制符合《国际财务报告准则》的财务报表；公司在香港联交所及深圳证券交易所公布或者披露的中期业绩或者财务资料也将仅以内地的企业会计准则编制。</w:t>
      </w:r>
    </w:p>
    <w:p>
      <w:pPr>
        <w:tabs>
          <w:tab w:val="left" w:pos="2980"/>
          <w:tab w:val="left" w:pos="6100"/>
        </w:tabs>
        <w:spacing w:before="156" w:beforeLines="50" w:line="360" w:lineRule="auto"/>
        <w:ind w:firstLine="480" w:firstLineChars="200"/>
        <w:jc w:val="both"/>
        <w:rPr>
          <w:rFonts w:ascii="宋体" w:hAnsi="宋体" w:eastAsia="宋体" w:cs="宋体"/>
          <w:sz w:val="24"/>
          <w:szCs w:val="24"/>
        </w:rPr>
      </w:pPr>
      <w:r>
        <w:rPr>
          <w:rFonts w:ascii="宋体" w:hAnsi="宋体" w:eastAsia="宋体" w:cs="宋体"/>
          <w:sz w:val="24"/>
          <w:szCs w:val="24"/>
        </w:rPr>
        <w:t>本议案需提交股东大会审议。</w:t>
      </w:r>
    </w:p>
    <w:p>
      <w:pPr>
        <w:tabs>
          <w:tab w:val="left" w:pos="2980"/>
          <w:tab w:val="left" w:pos="6100"/>
        </w:tabs>
        <w:spacing w:before="156" w:beforeLines="50" w:line="360" w:lineRule="auto"/>
        <w:ind w:firstLine="480" w:firstLineChars="200"/>
        <w:jc w:val="both"/>
        <w:rPr>
          <w:rFonts w:hint="default" w:ascii="宋体" w:hAnsi="宋体" w:eastAsia="宋体" w:cs="宋体"/>
          <w:sz w:val="24"/>
          <w:szCs w:val="24"/>
        </w:rPr>
      </w:pPr>
      <w:r>
        <w:rPr>
          <w:rFonts w:ascii="宋体" w:hAnsi="宋体" w:eastAsia="宋体" w:cs="宋体"/>
          <w:sz w:val="24"/>
          <w:szCs w:val="24"/>
        </w:rPr>
        <w:t>本议案经公司董事会、监事会审议通过后，尚待于本次董事会同时提交的《关于修改公司章程的议案》（其中包含修改公司章程中有关编制财务报表的相关条款）在公司股东大会审议通过后方可生效。</w:t>
      </w:r>
    </w:p>
    <w:p>
      <w:pPr>
        <w:tabs>
          <w:tab w:val="left" w:pos="2980"/>
          <w:tab w:val="left" w:pos="6100"/>
        </w:tabs>
        <w:spacing w:before="156" w:beforeLines="50" w:line="360" w:lineRule="auto"/>
        <w:ind w:firstLine="480"/>
        <w:jc w:val="both"/>
        <w:rPr>
          <w:rFonts w:hint="default" w:ascii="宋体" w:hAnsi="宋体" w:eastAsia="宋体" w:cs="宋体"/>
          <w:sz w:val="24"/>
          <w:szCs w:val="24"/>
        </w:rPr>
      </w:pPr>
      <w:r>
        <w:rPr>
          <w:rFonts w:ascii="宋体" w:hAnsi="宋体" w:eastAsia="宋体" w:cs="宋体"/>
          <w:sz w:val="24"/>
          <w:szCs w:val="24"/>
        </w:rPr>
        <w:t>2、审议通过《关于会计政策变更的议案》</w:t>
      </w:r>
    </w:p>
    <w:p>
      <w:pPr>
        <w:tabs>
          <w:tab w:val="left" w:pos="2980"/>
          <w:tab w:val="left" w:pos="6100"/>
        </w:tabs>
        <w:spacing w:before="156" w:beforeLines="50" w:line="360" w:lineRule="auto"/>
        <w:ind w:firstLine="480"/>
        <w:jc w:val="both"/>
        <w:rPr>
          <w:rFonts w:hint="default" w:ascii="宋体" w:hAnsi="宋体" w:eastAsia="宋体" w:cs="宋体"/>
          <w:sz w:val="24"/>
          <w:szCs w:val="24"/>
        </w:rPr>
      </w:pPr>
      <w:r>
        <w:rPr>
          <w:rFonts w:ascii="宋体" w:hAnsi="宋体" w:eastAsia="宋体" w:cs="宋体"/>
          <w:sz w:val="24"/>
          <w:szCs w:val="24"/>
        </w:rPr>
        <w:t>表决情况：3票同意、0票反对、0票弃权</w:t>
      </w:r>
    </w:p>
    <w:p>
      <w:pPr>
        <w:tabs>
          <w:tab w:val="left" w:pos="2980"/>
          <w:tab w:val="left" w:pos="6100"/>
        </w:tabs>
        <w:spacing w:before="156" w:beforeLines="50" w:line="360" w:lineRule="auto"/>
        <w:ind w:firstLine="480" w:firstLineChars="200"/>
        <w:jc w:val="both"/>
        <w:rPr>
          <w:rFonts w:hint="default" w:ascii="宋体" w:hAnsi="宋体" w:eastAsia="宋体" w:cs="宋体"/>
          <w:sz w:val="24"/>
          <w:szCs w:val="24"/>
          <w:highlight w:val="none"/>
        </w:rPr>
      </w:pPr>
      <w:r>
        <w:rPr>
          <w:rFonts w:ascii="宋体" w:hAnsi="宋体" w:eastAsia="宋体" w:cs="宋体"/>
          <w:sz w:val="24"/>
          <w:szCs w:val="24"/>
          <w:highlight w:val="none"/>
        </w:rPr>
        <w:t>经审议，监事会成员一致同意公司按照2017年财政部先后修订及新发布的相关会计准则变更会计政策，并在规定的起始日执行。</w:t>
      </w:r>
    </w:p>
    <w:p>
      <w:pPr>
        <w:tabs>
          <w:tab w:val="left" w:pos="2980"/>
          <w:tab w:val="left" w:pos="6100"/>
        </w:tabs>
        <w:spacing w:before="156" w:beforeLines="50" w:line="360" w:lineRule="auto"/>
        <w:ind w:firstLine="480" w:firstLineChars="200"/>
        <w:jc w:val="both"/>
        <w:rPr>
          <w:rFonts w:hint="default" w:ascii="宋体" w:hAnsi="宋体" w:eastAsia="宋体" w:cs="宋体"/>
          <w:sz w:val="24"/>
          <w:szCs w:val="24"/>
        </w:rPr>
      </w:pPr>
      <w:r>
        <w:rPr>
          <w:rFonts w:ascii="宋体" w:hAnsi="宋体" w:eastAsia="宋体" w:cs="宋体"/>
          <w:sz w:val="24"/>
          <w:szCs w:val="24"/>
        </w:rPr>
        <w:t>本议案由公司董事会、监事会审议批准后即生效，无需提交股东大会审议批准。</w:t>
      </w:r>
    </w:p>
    <w:p>
      <w:pPr>
        <w:tabs>
          <w:tab w:val="left" w:pos="2980"/>
          <w:tab w:val="left" w:pos="6100"/>
        </w:tabs>
        <w:spacing w:before="156" w:beforeLines="50" w:line="360" w:lineRule="auto"/>
        <w:ind w:firstLine="480" w:firstLineChars="200"/>
        <w:jc w:val="both"/>
        <w:rPr>
          <w:rFonts w:hint="default" w:ascii="宋体" w:hAnsi="宋体" w:eastAsia="宋体" w:cs="宋体"/>
          <w:sz w:val="24"/>
          <w:szCs w:val="24"/>
        </w:rPr>
      </w:pPr>
      <w:r>
        <w:rPr>
          <w:rFonts w:ascii="宋体" w:hAnsi="宋体" w:eastAsia="宋体" w:cs="宋体"/>
          <w:sz w:val="24"/>
          <w:szCs w:val="24"/>
        </w:rPr>
        <w:t>有关变更内容详见公司披露于</w:t>
      </w:r>
      <w:r>
        <w:rPr>
          <w:rFonts w:ascii="宋体" w:hAnsi="宋体" w:eastAsia="宋体" w:cs="宋体"/>
          <w:sz w:val="24"/>
          <w:szCs w:val="24"/>
          <w:lang w:val="zh-TW" w:eastAsia="zh-TW"/>
        </w:rPr>
        <w:t>《证券时报》、《证券日报》、《中国证券报》、《上海证券报》及巨潮资讯网（</w:t>
      </w:r>
      <w:r>
        <w:rPr>
          <w:rFonts w:ascii="宋体" w:hAnsi="宋体" w:eastAsia="宋体" w:cs="宋体"/>
          <w:sz w:val="24"/>
          <w:szCs w:val="24"/>
        </w:rPr>
        <w:t>http://www.cninfo.com.cn</w:t>
      </w:r>
      <w:r>
        <w:rPr>
          <w:rFonts w:ascii="宋体" w:hAnsi="宋体" w:eastAsia="宋体" w:cs="宋体"/>
          <w:sz w:val="24"/>
          <w:szCs w:val="24"/>
          <w:lang w:val="zh-TW" w:eastAsia="zh-TW"/>
        </w:rPr>
        <w:t>）</w:t>
      </w:r>
      <w:r>
        <w:rPr>
          <w:rFonts w:ascii="宋体" w:hAnsi="宋体" w:eastAsia="宋体" w:cs="宋体"/>
          <w:sz w:val="24"/>
          <w:szCs w:val="24"/>
          <w:lang w:val="zh-TW"/>
        </w:rPr>
        <w:t>的《兰州庄园牧场股份有限公司关于会计政策变更的公告》。</w:t>
      </w:r>
    </w:p>
    <w:p>
      <w:pPr>
        <w:tabs>
          <w:tab w:val="left" w:pos="2980"/>
          <w:tab w:val="left" w:pos="6100"/>
        </w:tabs>
        <w:spacing w:before="156" w:beforeLines="50" w:line="360" w:lineRule="auto"/>
        <w:ind w:firstLine="480"/>
        <w:jc w:val="both"/>
        <w:rPr>
          <w:rFonts w:hint="default" w:ascii="宋体" w:hAnsi="宋体" w:eastAsia="宋体" w:cs="宋体"/>
          <w:sz w:val="24"/>
          <w:szCs w:val="24"/>
        </w:rPr>
      </w:pPr>
      <w:r>
        <w:rPr>
          <w:rFonts w:ascii="宋体" w:hAnsi="宋体" w:eastAsia="宋体" w:cs="宋体"/>
          <w:sz w:val="24"/>
          <w:szCs w:val="24"/>
        </w:rPr>
        <w:t>3、审议通过《关于聘任毕马威华振会计师事务所（特殊普通合伙）为公司2017年度审计机构的议案》</w:t>
      </w:r>
    </w:p>
    <w:p>
      <w:pPr>
        <w:tabs>
          <w:tab w:val="left" w:pos="2980"/>
          <w:tab w:val="left" w:pos="6100"/>
        </w:tabs>
        <w:spacing w:before="156" w:beforeLines="50" w:line="360" w:lineRule="auto"/>
        <w:ind w:firstLine="480"/>
        <w:jc w:val="both"/>
        <w:rPr>
          <w:rFonts w:hint="default" w:ascii="宋体" w:hAnsi="宋体" w:eastAsia="宋体" w:cs="宋体"/>
          <w:sz w:val="24"/>
          <w:szCs w:val="24"/>
        </w:rPr>
      </w:pPr>
      <w:r>
        <w:rPr>
          <w:rFonts w:ascii="宋体" w:hAnsi="宋体" w:eastAsia="宋体" w:cs="宋体"/>
          <w:sz w:val="24"/>
          <w:szCs w:val="24"/>
        </w:rPr>
        <w:t>表决情况：3票同意、0票反对、0票弃权</w:t>
      </w:r>
    </w:p>
    <w:p>
      <w:pPr>
        <w:tabs>
          <w:tab w:val="left" w:pos="2980"/>
          <w:tab w:val="left" w:pos="6100"/>
        </w:tabs>
        <w:spacing w:before="156" w:beforeLines="50" w:line="360" w:lineRule="auto"/>
        <w:ind w:firstLine="480" w:firstLineChars="200"/>
        <w:jc w:val="both"/>
        <w:rPr>
          <w:rFonts w:hint="default" w:ascii="宋体" w:hAnsi="宋体" w:eastAsia="宋体" w:cs="宋体"/>
          <w:sz w:val="24"/>
          <w:szCs w:val="24"/>
        </w:rPr>
      </w:pPr>
      <w:r>
        <w:rPr>
          <w:rFonts w:ascii="宋体" w:hAnsi="宋体" w:eastAsia="宋体" w:cs="宋体"/>
          <w:sz w:val="24"/>
          <w:szCs w:val="24"/>
        </w:rPr>
        <w:t>经审议，监事会成员一致同意公司终止聘任2017年度境外核数师毕马威会计师事务所；公司聘任毕马威华振会计师事务所（特殊普通合伙）为本公司2017年度的审计机构，任期直至本公司2017年股东周年大会结束为止，负责公司2017年年度审计工作。</w:t>
      </w:r>
    </w:p>
    <w:p>
      <w:pPr>
        <w:tabs>
          <w:tab w:val="left" w:pos="2980"/>
          <w:tab w:val="left" w:pos="6100"/>
        </w:tabs>
        <w:spacing w:before="156" w:beforeLines="50" w:line="360" w:lineRule="auto"/>
        <w:ind w:firstLine="480" w:firstLineChars="200"/>
        <w:jc w:val="both"/>
        <w:rPr>
          <w:rFonts w:hint="default" w:ascii="宋体" w:hAnsi="宋体" w:eastAsia="宋体" w:cs="宋体"/>
          <w:sz w:val="24"/>
          <w:szCs w:val="24"/>
        </w:rPr>
      </w:pPr>
      <w:r>
        <w:rPr>
          <w:rFonts w:ascii="宋体" w:hAnsi="宋体" w:eastAsia="宋体" w:cs="宋体"/>
          <w:sz w:val="24"/>
          <w:szCs w:val="24"/>
        </w:rPr>
        <w:t>本议案需提交股东大会审议。</w:t>
      </w:r>
    </w:p>
    <w:p>
      <w:pPr>
        <w:tabs>
          <w:tab w:val="left" w:pos="2980"/>
          <w:tab w:val="left" w:pos="6100"/>
        </w:tabs>
        <w:spacing w:before="156" w:beforeLines="50" w:line="360" w:lineRule="auto"/>
        <w:ind w:firstLine="480" w:firstLineChars="200"/>
        <w:jc w:val="both"/>
        <w:rPr>
          <w:rFonts w:hint="default" w:ascii="宋体" w:hAnsi="宋体" w:eastAsia="宋体" w:cs="宋体"/>
          <w:sz w:val="24"/>
          <w:szCs w:val="24"/>
          <w:lang w:val="zh-TW"/>
        </w:rPr>
      </w:pPr>
      <w:r>
        <w:rPr>
          <w:rFonts w:ascii="宋体" w:hAnsi="宋体" w:eastAsia="宋体" w:cs="宋体"/>
          <w:sz w:val="24"/>
          <w:szCs w:val="24"/>
        </w:rPr>
        <w:t>有关变更会计师事务所内容详见公司披露于</w:t>
      </w:r>
      <w:r>
        <w:rPr>
          <w:rFonts w:ascii="宋体" w:hAnsi="宋体" w:eastAsia="宋体" w:cs="宋体"/>
          <w:sz w:val="24"/>
          <w:szCs w:val="24"/>
          <w:lang w:val="zh-TW" w:eastAsia="zh-TW"/>
        </w:rPr>
        <w:t>《证券时报》、《证券日报》、《中国证券报》、《上海证券报》及巨潮资讯网（</w:t>
      </w:r>
      <w:r>
        <w:rPr>
          <w:rFonts w:ascii="宋体" w:hAnsi="宋体" w:eastAsia="宋体" w:cs="宋体"/>
          <w:sz w:val="24"/>
          <w:szCs w:val="24"/>
        </w:rPr>
        <w:t>http://www.cninfo.com.cn</w:t>
      </w:r>
      <w:r>
        <w:rPr>
          <w:rFonts w:ascii="宋体" w:hAnsi="宋体" w:eastAsia="宋体" w:cs="宋体"/>
          <w:sz w:val="24"/>
          <w:szCs w:val="24"/>
          <w:lang w:val="zh-TW" w:eastAsia="zh-TW"/>
        </w:rPr>
        <w:t>）</w:t>
      </w:r>
      <w:r>
        <w:rPr>
          <w:rFonts w:ascii="宋体" w:hAnsi="宋体" w:eastAsia="宋体" w:cs="宋体"/>
          <w:sz w:val="24"/>
          <w:szCs w:val="24"/>
          <w:lang w:val="zh-TW"/>
        </w:rPr>
        <w:t>的《兰州庄园牧场股份有限公司关于</w:t>
      </w:r>
      <w:r>
        <w:rPr>
          <w:rFonts w:ascii="宋体" w:hAnsi="宋体" w:eastAsia="宋体" w:cs="宋体"/>
          <w:sz w:val="24"/>
          <w:szCs w:val="24"/>
        </w:rPr>
        <w:t>聘任毕马威华振会计师事务所（特殊普通合伙）为公司2017年度审计机构</w:t>
      </w:r>
      <w:bookmarkStart w:id="0" w:name="_GoBack"/>
      <w:bookmarkEnd w:id="0"/>
      <w:r>
        <w:rPr>
          <w:rFonts w:ascii="宋体" w:hAnsi="宋体" w:eastAsia="宋体" w:cs="宋体"/>
          <w:sz w:val="24"/>
          <w:szCs w:val="24"/>
          <w:lang w:val="zh-TW"/>
        </w:rPr>
        <w:t>的公告》。</w:t>
      </w:r>
    </w:p>
    <w:p>
      <w:pPr>
        <w:tabs>
          <w:tab w:val="left" w:pos="2980"/>
          <w:tab w:val="left" w:pos="6100"/>
        </w:tabs>
        <w:spacing w:before="156" w:beforeLines="50" w:line="360" w:lineRule="auto"/>
        <w:jc w:val="both"/>
        <w:rPr>
          <w:rFonts w:hint="default" w:ascii="宋体" w:hAnsi="宋体" w:eastAsia="宋体" w:cs="宋体"/>
          <w:b/>
          <w:bCs/>
          <w:sz w:val="24"/>
          <w:szCs w:val="24"/>
        </w:rPr>
      </w:pPr>
      <w:r>
        <w:rPr>
          <w:rFonts w:ascii="宋体" w:hAnsi="宋体" w:eastAsia="宋体" w:cs="宋体"/>
          <w:b/>
          <w:bCs/>
          <w:sz w:val="24"/>
          <w:szCs w:val="24"/>
        </w:rPr>
        <w:t>三、备查文件</w:t>
      </w:r>
    </w:p>
    <w:p>
      <w:pPr>
        <w:tabs>
          <w:tab w:val="left" w:pos="2980"/>
          <w:tab w:val="left" w:pos="6100"/>
        </w:tabs>
        <w:spacing w:before="156" w:beforeLines="50" w:line="360" w:lineRule="auto"/>
        <w:ind w:firstLine="480" w:firstLineChars="200"/>
        <w:jc w:val="both"/>
        <w:rPr>
          <w:rFonts w:hint="default" w:ascii="宋体" w:hAnsi="宋体" w:eastAsia="宋体" w:cs="宋体"/>
          <w:sz w:val="24"/>
          <w:szCs w:val="24"/>
        </w:rPr>
      </w:pPr>
      <w:r>
        <w:rPr>
          <w:rFonts w:ascii="宋体" w:hAnsi="宋体" w:eastAsia="宋体" w:cs="宋体"/>
          <w:sz w:val="24"/>
          <w:szCs w:val="24"/>
        </w:rPr>
        <w:t>1、公司第二届监事会第七次会议决议</w:t>
      </w:r>
    </w:p>
    <w:p>
      <w:pPr>
        <w:tabs>
          <w:tab w:val="left" w:pos="2980"/>
          <w:tab w:val="left" w:pos="6100"/>
        </w:tabs>
        <w:spacing w:before="156" w:beforeLines="50" w:line="360" w:lineRule="auto"/>
        <w:jc w:val="both"/>
        <w:rPr>
          <w:rFonts w:hint="default" w:ascii="宋体" w:hAnsi="宋体" w:eastAsia="宋体" w:cs="宋体"/>
          <w:sz w:val="24"/>
          <w:szCs w:val="24"/>
        </w:rPr>
      </w:pPr>
    </w:p>
    <w:p>
      <w:pPr>
        <w:tabs>
          <w:tab w:val="left" w:pos="2980"/>
          <w:tab w:val="left" w:pos="6100"/>
        </w:tabs>
        <w:spacing w:before="156" w:beforeLines="50" w:line="360" w:lineRule="auto"/>
        <w:ind w:firstLine="4560" w:firstLineChars="1900"/>
        <w:jc w:val="both"/>
        <w:rPr>
          <w:rFonts w:hint="default" w:ascii="宋体" w:hAnsi="宋体" w:eastAsia="宋体" w:cs="宋体"/>
          <w:sz w:val="24"/>
          <w:szCs w:val="24"/>
        </w:rPr>
      </w:pPr>
      <w:r>
        <w:rPr>
          <w:rFonts w:ascii="宋体" w:hAnsi="宋体" w:eastAsia="宋体" w:cs="宋体"/>
          <w:sz w:val="24"/>
          <w:szCs w:val="24"/>
        </w:rPr>
        <w:t>兰州庄园牧场股份有限公司监事会</w:t>
      </w:r>
    </w:p>
    <w:p>
      <w:pPr>
        <w:tabs>
          <w:tab w:val="left" w:pos="2980"/>
          <w:tab w:val="left" w:pos="6100"/>
        </w:tabs>
        <w:spacing w:before="156" w:beforeLines="50" w:line="360" w:lineRule="auto"/>
        <w:ind w:firstLine="5520" w:firstLineChars="2300"/>
        <w:jc w:val="both"/>
        <w:rPr>
          <w:rFonts w:hint="default" w:ascii="宋体" w:hAnsi="宋体" w:eastAsia="宋体" w:cs="宋体"/>
          <w:sz w:val="24"/>
          <w:szCs w:val="24"/>
        </w:rPr>
      </w:pPr>
      <w:r>
        <w:rPr>
          <w:rFonts w:ascii="宋体" w:hAnsi="宋体" w:eastAsia="宋体" w:cs="宋体"/>
          <w:sz w:val="24"/>
          <w:szCs w:val="24"/>
        </w:rPr>
        <w:t>2018年2月5日</w:t>
      </w:r>
    </w:p>
    <w:p>
      <w:pPr>
        <w:tabs>
          <w:tab w:val="left" w:pos="2980"/>
          <w:tab w:val="left" w:pos="6100"/>
        </w:tabs>
        <w:spacing w:before="156" w:beforeLines="50" w:line="360" w:lineRule="auto"/>
        <w:ind w:firstLine="480" w:firstLineChars="200"/>
        <w:jc w:val="both"/>
        <w:rPr>
          <w:rFonts w:hint="default" w:ascii="宋体" w:hAnsi="宋体" w:eastAsia="宋体" w:cs="宋体"/>
          <w:sz w:val="24"/>
          <w:szCs w:val="24"/>
        </w:rPr>
      </w:pPr>
    </w:p>
    <w:p>
      <w:pPr>
        <w:tabs>
          <w:tab w:val="left" w:pos="2980"/>
          <w:tab w:val="left" w:pos="6100"/>
        </w:tabs>
        <w:spacing w:before="156" w:beforeLines="50" w:line="360" w:lineRule="auto"/>
        <w:ind w:firstLine="480"/>
        <w:jc w:val="both"/>
        <w:rPr>
          <w:rFonts w:hint="default" w:ascii="宋体" w:hAnsi="宋体" w:eastAsia="宋体" w:cs="宋体"/>
          <w:sz w:val="24"/>
          <w:szCs w:val="24"/>
        </w:rPr>
      </w:pPr>
    </w:p>
    <w:p>
      <w:pPr>
        <w:tabs>
          <w:tab w:val="left" w:pos="2980"/>
          <w:tab w:val="left" w:pos="6100"/>
        </w:tabs>
        <w:spacing w:before="156" w:beforeLines="50" w:line="360" w:lineRule="auto"/>
        <w:ind w:firstLine="480"/>
        <w:jc w:val="both"/>
        <w:rPr>
          <w:rFonts w:hint="default" w:ascii="宋体" w:hAnsi="宋体" w:eastAsia="宋体" w:cs="宋体"/>
          <w:sz w:val="24"/>
          <w:szCs w:val="24"/>
          <w:lang w:val="zh-TW" w:eastAsia="zh-TW"/>
        </w:rPr>
      </w:pPr>
    </w:p>
    <w:p>
      <w:pPr>
        <w:rPr>
          <w:rFonts w:hint="default"/>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Arial Unicode MS">
    <w:panose1 w:val="020B0604020202020204"/>
    <w:charset w:val="86"/>
    <w:family w:val="swiss"/>
    <w:pitch w:val="default"/>
    <w:sig w:usb0="FFFFFFFF" w:usb1="E9FFFFFF" w:usb2="0000003F" w:usb3="00000000" w:csb0="603F01FF" w:csb1="FFFF0000"/>
  </w:font>
  <w:font w:name="Calibri Light">
    <w:altName w:val="Calibri"/>
    <w:panose1 w:val="020F0302020204030204"/>
    <w:charset w:val="00"/>
    <w:family w:val="swiss"/>
    <w:pitch w:val="default"/>
    <w:sig w:usb0="00000000" w:usb1="00000000" w:usb2="00000009" w:usb3="00000000" w:csb0="000001FF"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742E68"/>
    <w:multiLevelType w:val="singleLevel"/>
    <w:tmpl w:val="5A742E68"/>
    <w:lvl w:ilvl="0" w:tentative="0">
      <w:start w:val="1"/>
      <w:numFmt w:val="chineseCounting"/>
      <w:suff w:val="nothing"/>
      <w:lvlText w:val="%1、"/>
      <w:lvlJc w:val="left"/>
    </w:lvl>
  </w:abstractNum>
  <w:abstractNum w:abstractNumId="1">
    <w:nsid w:val="5A743170"/>
    <w:multiLevelType w:val="singleLevel"/>
    <w:tmpl w:val="5A743170"/>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0674"/>
    <w:rsid w:val="000E0674"/>
    <w:rsid w:val="00235F0D"/>
    <w:rsid w:val="00352469"/>
    <w:rsid w:val="006953B3"/>
    <w:rsid w:val="00B20BED"/>
    <w:rsid w:val="00BB75A3"/>
    <w:rsid w:val="00F75BB6"/>
    <w:rsid w:val="05B21E8A"/>
    <w:rsid w:val="14FF4C6E"/>
    <w:rsid w:val="224D4CE8"/>
    <w:rsid w:val="27C14E4E"/>
    <w:rsid w:val="2E011C0A"/>
    <w:rsid w:val="2ED75C98"/>
    <w:rsid w:val="30CB5F2C"/>
    <w:rsid w:val="3E497F28"/>
    <w:rsid w:val="43C36F91"/>
    <w:rsid w:val="6BCB7680"/>
    <w:rsid w:val="6C8C7CA0"/>
    <w:rsid w:val="71AE0E5F"/>
    <w:rsid w:val="73EC1D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hint="eastAsia" w:ascii="Arial Unicode MS" w:hAnsi="Arial Unicode MS" w:eastAsia="Arial Unicode MS" w:cs="Arial Unicode MS"/>
      <w:color w:val="000000"/>
      <w:sz w:val="21"/>
      <w:szCs w:val="21"/>
      <w:u w:color="000000"/>
      <w:lang w:val="en-US" w:eastAsia="zh-CN" w:bidi="ar-SA"/>
    </w:rPr>
  </w:style>
  <w:style w:type="character" w:default="1" w:styleId="5">
    <w:name w:val="Default Paragraph Font"/>
    <w:unhideWhenUsed/>
    <w:uiPriority w:val="1"/>
  </w:style>
  <w:style w:type="table" w:default="1" w:styleId="6">
    <w:name w:val="Normal Table"/>
    <w:unhideWhenUsed/>
    <w:uiPriority w:val="99"/>
    <w:tblPr>
      <w:tblLayout w:type="fixed"/>
      <w:tblCellMar>
        <w:top w:w="0" w:type="dxa"/>
        <w:left w:w="108" w:type="dxa"/>
        <w:bottom w:w="0" w:type="dxa"/>
        <w:right w:w="108" w:type="dxa"/>
      </w:tblCellMar>
    </w:tblPr>
  </w:style>
  <w:style w:type="paragraph" w:styleId="2">
    <w:name w:val="Balloon Text"/>
    <w:basedOn w:val="1"/>
    <w:link w:val="7"/>
    <w:qFormat/>
    <w:uiPriority w:val="0"/>
    <w:rPr>
      <w:sz w:val="18"/>
      <w:szCs w:val="18"/>
    </w:rPr>
  </w:style>
  <w:style w:type="paragraph" w:styleId="3">
    <w:name w:val="footer"/>
    <w:basedOn w:val="1"/>
    <w:link w:val="9"/>
    <w:uiPriority w:val="0"/>
    <w:pPr>
      <w:tabs>
        <w:tab w:val="center" w:pos="4153"/>
        <w:tab w:val="right" w:pos="8306"/>
      </w:tabs>
      <w:snapToGrid w:val="0"/>
    </w:pPr>
    <w:rPr>
      <w:sz w:val="18"/>
      <w:szCs w:val="18"/>
    </w:rPr>
  </w:style>
  <w:style w:type="paragraph" w:styleId="4">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character" w:customStyle="1" w:styleId="7">
    <w:name w:val="批注框文本 Char"/>
    <w:basedOn w:val="5"/>
    <w:link w:val="2"/>
    <w:qFormat/>
    <w:uiPriority w:val="0"/>
    <w:rPr>
      <w:rFonts w:ascii="Arial Unicode MS" w:hAnsi="Arial Unicode MS" w:eastAsia="Arial Unicode MS" w:cs="Arial Unicode MS"/>
      <w:color w:val="000000"/>
      <w:sz w:val="18"/>
      <w:szCs w:val="18"/>
      <w:u w:color="000000"/>
    </w:rPr>
  </w:style>
  <w:style w:type="character" w:customStyle="1" w:styleId="8">
    <w:name w:val="页眉 Char"/>
    <w:basedOn w:val="5"/>
    <w:link w:val="4"/>
    <w:qFormat/>
    <w:uiPriority w:val="0"/>
    <w:rPr>
      <w:rFonts w:ascii="Arial Unicode MS" w:hAnsi="Arial Unicode MS" w:eastAsia="Arial Unicode MS" w:cs="Arial Unicode MS"/>
      <w:color w:val="000000"/>
      <w:sz w:val="18"/>
      <w:szCs w:val="18"/>
      <w:u w:color="000000"/>
    </w:rPr>
  </w:style>
  <w:style w:type="character" w:customStyle="1" w:styleId="9">
    <w:name w:val="页脚 Char"/>
    <w:basedOn w:val="5"/>
    <w:link w:val="3"/>
    <w:qFormat/>
    <w:uiPriority w:val="0"/>
    <w:rPr>
      <w:rFonts w:ascii="Arial Unicode MS" w:hAnsi="Arial Unicode MS" w:eastAsia="Arial Unicode MS" w:cs="Arial Unicode MS"/>
      <w:color w:val="000000"/>
      <w:sz w:val="18"/>
      <w:szCs w:val="18"/>
      <w:u w:color="00000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213</Words>
  <Characters>1217</Characters>
  <Lines>10</Lines>
  <Paragraphs>2</Paragraphs>
  <ScaleCrop>false</ScaleCrop>
  <LinksUpToDate>false</LinksUpToDate>
  <CharactersWithSpaces>1428</CharactersWithSpaces>
  <Application>WPS Office_10.1.0.7022_F1E327BC-269C-435d-A152-05C5408002CA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lailai </cp:lastModifiedBy>
  <dcterms:modified xsi:type="dcterms:W3CDTF">2018-02-05T10:32:34Z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2052-10.1.0.7022</vt:lpwstr>
  </property>
</Properties>
</file>