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980"/>
          <w:tab w:val="left" w:pos="6100"/>
        </w:tabs>
        <w:spacing w:line="239" w:lineRule="auto"/>
        <w:rPr>
          <w:rFonts w:hint="default"/>
          <w:b/>
          <w:bCs/>
          <w:sz w:val="23"/>
          <w:szCs w:val="23"/>
        </w:rPr>
      </w:pPr>
      <w:r>
        <w:rPr>
          <w:rFonts w:ascii="宋体" w:hAnsi="宋体" w:eastAsia="宋体" w:cs="宋体"/>
          <w:b/>
          <w:bCs/>
          <w:sz w:val="24"/>
          <w:szCs w:val="24"/>
          <w:lang w:val="zh-TW" w:eastAsia="zh-TW"/>
        </w:rPr>
        <w:t>证券代码：</w:t>
      </w:r>
      <w:r>
        <w:rPr>
          <w:rFonts w:ascii="Times New Roman" w:hAnsi="Times New Roman"/>
          <w:b/>
          <w:bCs/>
          <w:sz w:val="24"/>
          <w:szCs w:val="24"/>
        </w:rPr>
        <w:t>002910</w:t>
      </w:r>
      <w:r>
        <w:rPr>
          <w:b/>
          <w:bCs/>
        </w:rPr>
        <w:tab/>
      </w:r>
      <w:r>
        <w:rPr>
          <w:rFonts w:ascii="宋体" w:hAnsi="宋体" w:eastAsia="宋体" w:cs="宋体"/>
          <w:b/>
          <w:bCs/>
          <w:sz w:val="24"/>
          <w:szCs w:val="24"/>
          <w:lang w:val="zh-TW" w:eastAsia="zh-TW"/>
        </w:rPr>
        <w:t>证券简称：庄园牧场</w:t>
      </w:r>
      <w:r>
        <w:rPr>
          <w:b/>
          <w:bCs/>
        </w:rPr>
        <w:tab/>
      </w:r>
      <w:r>
        <w:rPr>
          <w:rFonts w:ascii="宋体" w:hAnsi="宋体" w:eastAsia="宋体" w:cs="宋体"/>
          <w:b/>
          <w:bCs/>
          <w:sz w:val="23"/>
          <w:szCs w:val="23"/>
          <w:lang w:val="zh-TW" w:eastAsia="zh-TW"/>
        </w:rPr>
        <w:t>公告编号：</w:t>
      </w:r>
      <w:r>
        <w:rPr>
          <w:rFonts w:ascii="Times New Roman" w:hAnsi="Times New Roman"/>
          <w:b/>
          <w:bCs/>
          <w:sz w:val="23"/>
          <w:szCs w:val="23"/>
          <w:highlight w:val="none"/>
        </w:rPr>
        <w:t>2018-003</w:t>
      </w:r>
    </w:p>
    <w:p>
      <w:pPr>
        <w:spacing w:line="200" w:lineRule="exact"/>
        <w:rPr>
          <w:rFonts w:hint="default"/>
          <w:sz w:val="24"/>
          <w:szCs w:val="24"/>
        </w:rPr>
      </w:pPr>
    </w:p>
    <w:p>
      <w:pPr>
        <w:spacing w:line="200" w:lineRule="exact"/>
        <w:rPr>
          <w:rFonts w:hint="default"/>
          <w:sz w:val="24"/>
          <w:szCs w:val="24"/>
        </w:rPr>
      </w:pPr>
    </w:p>
    <w:p>
      <w:pPr>
        <w:spacing w:line="247" w:lineRule="exact"/>
        <w:rPr>
          <w:rFonts w:hint="default"/>
          <w:sz w:val="24"/>
          <w:szCs w:val="24"/>
        </w:rPr>
      </w:pPr>
    </w:p>
    <w:p>
      <w:pPr>
        <w:spacing w:line="20" w:lineRule="atLeast"/>
        <w:ind w:left="1980"/>
        <w:rPr>
          <w:rFonts w:hint="default" w:ascii="宋体" w:hAnsi="宋体" w:eastAsia="宋体" w:cs="宋体"/>
          <w:b/>
          <w:bCs/>
          <w:sz w:val="36"/>
          <w:szCs w:val="36"/>
          <w:lang w:val="zh-TW" w:eastAsia="zh-TW"/>
        </w:rPr>
      </w:pPr>
      <w:r>
        <w:rPr>
          <w:rFonts w:ascii="宋体" w:hAnsi="宋体" w:eastAsia="宋体" w:cs="宋体"/>
          <w:b/>
          <w:bCs/>
          <w:sz w:val="36"/>
          <w:szCs w:val="36"/>
          <w:lang w:val="zh-TW" w:eastAsia="zh-TW"/>
        </w:rPr>
        <w:t>兰州庄园牧场股份有限公司</w:t>
      </w:r>
    </w:p>
    <w:p>
      <w:pPr>
        <w:spacing w:line="213" w:lineRule="exact"/>
        <w:rPr>
          <w:rFonts w:hint="default"/>
          <w:sz w:val="24"/>
          <w:szCs w:val="24"/>
        </w:rPr>
      </w:pPr>
    </w:p>
    <w:p>
      <w:pPr>
        <w:spacing w:line="20" w:lineRule="atLeast"/>
        <w:jc w:val="center"/>
        <w:rPr>
          <w:rFonts w:hint="default" w:ascii="宋体" w:hAnsi="宋体" w:eastAsia="宋体" w:cs="宋体"/>
          <w:b/>
          <w:bCs/>
          <w:sz w:val="36"/>
          <w:szCs w:val="36"/>
          <w:lang w:val="zh-TW" w:eastAsia="zh-TW"/>
        </w:rPr>
      </w:pPr>
      <w:r>
        <w:rPr>
          <w:rFonts w:ascii="宋体" w:hAnsi="宋体" w:eastAsia="宋体" w:cs="宋体"/>
          <w:b/>
          <w:bCs/>
          <w:sz w:val="36"/>
          <w:szCs w:val="36"/>
          <w:lang w:val="zh-TW" w:eastAsia="zh-TW"/>
        </w:rPr>
        <w:t>201</w:t>
      </w:r>
      <w:r>
        <w:rPr>
          <w:rFonts w:ascii="宋体" w:hAnsi="宋体" w:eastAsia="宋体" w:cs="宋体"/>
          <w:b/>
          <w:bCs/>
          <w:sz w:val="36"/>
          <w:szCs w:val="36"/>
        </w:rPr>
        <w:t>8</w:t>
      </w:r>
      <w:r>
        <w:rPr>
          <w:rFonts w:ascii="宋体" w:hAnsi="宋体" w:eastAsia="宋体" w:cs="宋体"/>
          <w:b/>
          <w:bCs/>
          <w:sz w:val="36"/>
          <w:szCs w:val="36"/>
          <w:lang w:val="zh-TW" w:eastAsia="zh-TW"/>
        </w:rPr>
        <w:t>年第</w:t>
      </w:r>
      <w:r>
        <w:rPr>
          <w:rFonts w:ascii="宋体" w:hAnsi="宋体" w:eastAsia="宋体" w:cs="宋体"/>
          <w:b/>
          <w:bCs/>
          <w:sz w:val="36"/>
          <w:szCs w:val="36"/>
          <w:lang w:val="zh-TW"/>
        </w:rPr>
        <w:t>一</w:t>
      </w:r>
      <w:r>
        <w:rPr>
          <w:rFonts w:ascii="宋体" w:hAnsi="宋体" w:eastAsia="宋体" w:cs="宋体"/>
          <w:b/>
          <w:bCs/>
          <w:sz w:val="36"/>
          <w:szCs w:val="36"/>
          <w:lang w:val="zh-TW" w:eastAsia="zh-TW"/>
        </w:rPr>
        <w:t>次董事会会议决议公告</w:t>
      </w:r>
    </w:p>
    <w:p>
      <w:pPr>
        <w:spacing w:line="200" w:lineRule="exact"/>
        <w:rPr>
          <w:rFonts w:hint="default"/>
          <w:sz w:val="24"/>
          <w:szCs w:val="24"/>
        </w:rPr>
      </w:pPr>
      <w:r>
        <w:rPr>
          <w:rFonts w:hint="default" w:ascii="宋体" w:hAnsi="宋体" w:eastAsia="宋体" w:cs="宋体"/>
          <w:b/>
          <w:bCs/>
          <w:sz w:val="36"/>
          <w:szCs w:val="36"/>
        </w:rPr>
        <mc:AlternateContent>
          <mc:Choice Requires="wps">
            <w:drawing>
              <wp:anchor distT="0" distB="0" distL="114300" distR="114300" simplePos="0" relativeHeight="251654144" behindDoc="1" locked="0" layoutInCell="1" allowOverlap="1">
                <wp:simplePos x="0" y="0"/>
                <wp:positionH relativeFrom="column">
                  <wp:posOffset>5792470</wp:posOffset>
                </wp:positionH>
                <wp:positionV relativeFrom="line">
                  <wp:posOffset>354330</wp:posOffset>
                </wp:positionV>
                <wp:extent cx="0" cy="839470"/>
                <wp:effectExtent l="13970" t="11430" r="24130" b="25400"/>
                <wp:wrapNone/>
                <wp:docPr id="4" name="Line 2"/>
                <wp:cNvGraphicFramePr/>
                <a:graphic xmlns:a="http://schemas.openxmlformats.org/drawingml/2006/main">
                  <a:graphicData uri="http://schemas.microsoft.com/office/word/2010/wordprocessingShape">
                    <wps:wsp>
                      <wps:cNvCnPr>
                        <a:cxnSpLocks noChangeShapeType="1"/>
                      </wps:cNvCnPr>
                      <wps:spPr bwMode="auto">
                        <a:xfrm>
                          <a:off x="0" y="0"/>
                          <a:ext cx="0" cy="839470"/>
                        </a:xfrm>
                        <a:prstGeom prst="line">
                          <a:avLst/>
                        </a:prstGeom>
                        <a:noFill/>
                        <a:ln w="12700">
                          <a:solidFill>
                            <a:srgbClr val="000000"/>
                          </a:solidFill>
                          <a:round/>
                        </a:ln>
                      </wps:spPr>
                      <wps:bodyPr/>
                    </wps:wsp>
                  </a:graphicData>
                </a:graphic>
              </wp:anchor>
            </w:drawing>
          </mc:Choice>
          <mc:Fallback>
            <w:pict>
              <v:line id="Line 2" o:spid="_x0000_s1026" o:spt="20" style="position:absolute;left:0pt;margin-left:456.1pt;margin-top:27.9pt;height:66.1pt;width:0pt;mso-position-vertical-relative:line;z-index:-251662336;mso-width-relative:page;mso-height-relative:page;" filled="f" stroked="t" coordsize="21600,21600" o:gfxdata="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K2R+dcA&#10;AAAKAQAADwAAAAAAAAABACAAAAAiAAAAZHJzL2Rvd25yZXYueG1sUEsBAhQAFAAAAAgAh07iQEOL&#10;PSWuAQAAUQMAAA4AAAAAAAAAAQAgAAAAJgEAAGRycy9lMm9Eb2MueG1sUEsFBgAAAAAGAAYAWQEA&#10;AEYFA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5168" behindDoc="1" locked="0" layoutInCell="1" allowOverlap="1">
                <wp:simplePos x="0" y="0"/>
                <wp:positionH relativeFrom="column">
                  <wp:posOffset>-452120</wp:posOffset>
                </wp:positionH>
                <wp:positionV relativeFrom="line">
                  <wp:posOffset>354330</wp:posOffset>
                </wp:positionV>
                <wp:extent cx="6257290" cy="0"/>
                <wp:effectExtent l="17780" t="11430" r="24130" b="26670"/>
                <wp:wrapNone/>
                <wp:docPr id="3" name="Line 3"/>
                <wp:cNvGraphicFramePr/>
                <a:graphic xmlns:a="http://schemas.openxmlformats.org/drawingml/2006/main">
                  <a:graphicData uri="http://schemas.microsoft.com/office/word/2010/wordprocessingShape">
                    <wps:wsp>
                      <wps:cNvCnPr>
                        <a:cxnSpLocks noChangeShapeType="1"/>
                      </wps:cNvCnPr>
                      <wps:spPr bwMode="auto">
                        <a:xfrm>
                          <a:off x="0" y="0"/>
                          <a:ext cx="6257290" cy="0"/>
                        </a:xfrm>
                        <a:prstGeom prst="line">
                          <a:avLst/>
                        </a:prstGeom>
                        <a:noFill/>
                        <a:ln w="12700">
                          <a:solidFill>
                            <a:srgbClr val="000000"/>
                          </a:solidFill>
                          <a:round/>
                        </a:ln>
                      </wps:spPr>
                      <wps:bodyPr/>
                    </wps:wsp>
                  </a:graphicData>
                </a:graphic>
              </wp:anchor>
            </w:drawing>
          </mc:Choice>
          <mc:Fallback>
            <w:pict>
              <v:line id="Line 3" o:spid="_x0000_s1026" o:spt="20" style="position:absolute;left:0pt;margin-left:-35.6pt;margin-top:27.9pt;height:0pt;width:492.7pt;mso-position-vertical-relative:line;z-index:-251661312;mso-width-relative:page;mso-height-relative:page;" filled="f" stroked="t" coordsize="21600,21600" o:gfxdata="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3tbNrX&#10;AAAACQEAAA8AAAAAAAAAAQAgAAAAIgAAAGRycy9kb3ducmV2LnhtbFBLAQIUABQAAAAIAIdO4kCR&#10;3jtIrwEAAFIDAAAOAAAAAAAAAAEAIAAAACYBAABkcnMvZTJvRG9jLnhtbFBLBQYAAAAABgAGAFkB&#10;AABHBQ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6192" behindDoc="1" locked="0" layoutInCell="1" allowOverlap="1">
                <wp:simplePos x="0" y="0"/>
                <wp:positionH relativeFrom="column">
                  <wp:posOffset>-450850</wp:posOffset>
                </wp:positionH>
                <wp:positionV relativeFrom="line">
                  <wp:posOffset>354330</wp:posOffset>
                </wp:positionV>
                <wp:extent cx="0" cy="839470"/>
                <wp:effectExtent l="6350" t="11430" r="31750" b="25400"/>
                <wp:wrapNone/>
                <wp:docPr id="2" name="Line 4"/>
                <wp:cNvGraphicFramePr/>
                <a:graphic xmlns:a="http://schemas.openxmlformats.org/drawingml/2006/main">
                  <a:graphicData uri="http://schemas.microsoft.com/office/word/2010/wordprocessingShape">
                    <wps:wsp>
                      <wps:cNvCnPr>
                        <a:cxnSpLocks noChangeShapeType="1"/>
                      </wps:cNvCnPr>
                      <wps:spPr bwMode="auto">
                        <a:xfrm flipH="1">
                          <a:off x="0" y="0"/>
                          <a:ext cx="0" cy="839470"/>
                        </a:xfrm>
                        <a:prstGeom prst="line">
                          <a:avLst/>
                        </a:prstGeom>
                        <a:noFill/>
                        <a:ln w="12700">
                          <a:solidFill>
                            <a:srgbClr val="000000"/>
                          </a:solidFill>
                          <a:round/>
                        </a:ln>
                      </wps:spPr>
                      <wps:bodyPr/>
                    </wps:wsp>
                  </a:graphicData>
                </a:graphic>
              </wp:anchor>
            </w:drawing>
          </mc:Choice>
          <mc:Fallback>
            <w:pict>
              <v:line id="Line 4" o:spid="_x0000_s1026" o:spt="20" style="position:absolute;left:0pt;flip:x;margin-left:-35.5pt;margin-top:27.9pt;height:66.1pt;width:0pt;mso-position-vertical-relative:line;z-index:-251660288;mso-width-relative:page;mso-height-relative:page;" filled="f" stroked="t" coordsize="21600,21600" o:gfxdata="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AU3edcAAAAKAQAADwAAAAAAAAABACAAAAAiAAAAZHJzL2Rvd25yZXYueG1sUEsBAhQAFAAAAAgA&#10;h07iQKCCOCm0AQAAWwMAAA4AAAAAAAAAAQAgAAAAJgEAAGRycy9lMm9Eb2MueG1sUEsFBgAAAAAG&#10;AAYAWQEAAEwFA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7216" behindDoc="1" locked="0" layoutInCell="1" allowOverlap="1">
                <wp:simplePos x="0" y="0"/>
                <wp:positionH relativeFrom="column">
                  <wp:posOffset>-452120</wp:posOffset>
                </wp:positionH>
                <wp:positionV relativeFrom="line">
                  <wp:posOffset>1181100</wp:posOffset>
                </wp:positionV>
                <wp:extent cx="6257290" cy="0"/>
                <wp:effectExtent l="17780" t="12700" r="24130" b="25400"/>
                <wp:wrapNone/>
                <wp:docPr id="1" name="Line 5"/>
                <wp:cNvGraphicFramePr/>
                <a:graphic xmlns:a="http://schemas.openxmlformats.org/drawingml/2006/main">
                  <a:graphicData uri="http://schemas.microsoft.com/office/word/2010/wordprocessingShape">
                    <wps:wsp>
                      <wps:cNvCnPr>
                        <a:cxnSpLocks noChangeShapeType="1"/>
                      </wps:cNvCnPr>
                      <wps:spPr bwMode="auto">
                        <a:xfrm>
                          <a:off x="0" y="0"/>
                          <a:ext cx="6257290" cy="0"/>
                        </a:xfrm>
                        <a:prstGeom prst="line">
                          <a:avLst/>
                        </a:prstGeom>
                        <a:noFill/>
                        <a:ln w="12700">
                          <a:solidFill>
                            <a:srgbClr val="000000"/>
                          </a:solidFill>
                          <a:round/>
                        </a:ln>
                      </wps:spPr>
                      <wps:bodyPr/>
                    </wps:wsp>
                  </a:graphicData>
                </a:graphic>
              </wp:anchor>
            </w:drawing>
          </mc:Choice>
          <mc:Fallback>
            <w:pict>
              <v:line id="Line 5" o:spid="_x0000_s1026" o:spt="20" style="position:absolute;left:0pt;margin-left:-35.6pt;margin-top:93pt;height:0pt;width:492.7pt;mso-position-vertical-relative:line;z-index:-251659264;mso-width-relative:page;mso-height-relative:page;" filled="f" stroked="t" coordsize="21600,21600" o:gfxdata="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ouVY9gA&#10;AAALAQAADwAAAAAAAAABACAAAAAiAAAAZHJzL2Rvd25yZXYueG1sUEsBAhQAFAAAAAgAh07iQNbm&#10;YPqtAQAAUgMAAA4AAAAAAAAAAQAgAAAAJwEAAGRycy9lMm9Eb2MueG1sUEsFBgAAAAAGAAYAWQEA&#10;AEYFAAAAAA==&#10;">
                <v:fill on="f" focussize="0,0"/>
                <v:stroke weight="1pt" color="#000000" joinstyle="round"/>
                <v:imagedata o:title=""/>
                <o:lock v:ext="edit" aspectratio="f"/>
              </v:line>
            </w:pict>
          </mc:Fallback>
        </mc:AlternateContent>
      </w:r>
    </w:p>
    <w:p>
      <w:pPr>
        <w:spacing w:line="200" w:lineRule="exact"/>
        <w:rPr>
          <w:rFonts w:hint="default"/>
          <w:sz w:val="24"/>
          <w:szCs w:val="24"/>
        </w:rPr>
      </w:pPr>
    </w:p>
    <w:p>
      <w:pPr>
        <w:spacing w:line="200" w:lineRule="exact"/>
        <w:rPr>
          <w:rFonts w:hint="default"/>
          <w:sz w:val="24"/>
          <w:szCs w:val="24"/>
        </w:rPr>
      </w:pPr>
    </w:p>
    <w:p>
      <w:pPr>
        <w:spacing w:line="235" w:lineRule="exact"/>
        <w:rPr>
          <w:rFonts w:hint="default"/>
          <w:sz w:val="24"/>
          <w:szCs w:val="24"/>
        </w:rPr>
      </w:pPr>
    </w:p>
    <w:p>
      <w:pPr>
        <w:spacing w:line="20" w:lineRule="atLeast"/>
        <w:ind w:left="480"/>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本公司及董事会全体成员保证公告内容的真实、准确和完整，没有虚假记</w:t>
      </w:r>
    </w:p>
    <w:p>
      <w:pPr>
        <w:spacing w:line="194" w:lineRule="exact"/>
        <w:rPr>
          <w:rFonts w:hint="default"/>
          <w:sz w:val="24"/>
          <w:szCs w:val="24"/>
        </w:rPr>
      </w:pPr>
    </w:p>
    <w:p>
      <w:pPr>
        <w:spacing w:line="20" w:lineRule="atLeast"/>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载、误导性陈述或重大遗漏。</w:t>
      </w:r>
    </w:p>
    <w:p>
      <w:pPr>
        <w:spacing w:line="200" w:lineRule="exact"/>
        <w:rPr>
          <w:rFonts w:hint="default"/>
          <w:sz w:val="24"/>
          <w:szCs w:val="24"/>
        </w:rPr>
      </w:pPr>
    </w:p>
    <w:p>
      <w:pPr>
        <w:spacing w:line="200" w:lineRule="exact"/>
        <w:rPr>
          <w:rFonts w:hint="default"/>
          <w:sz w:val="24"/>
          <w:szCs w:val="24"/>
        </w:rPr>
      </w:pPr>
    </w:p>
    <w:p>
      <w:pPr>
        <w:spacing w:line="200" w:lineRule="exact"/>
        <w:rPr>
          <w:rFonts w:hint="default"/>
          <w:sz w:val="24"/>
          <w:szCs w:val="24"/>
        </w:rPr>
      </w:pPr>
    </w:p>
    <w:p>
      <w:pPr>
        <w:spacing w:line="218" w:lineRule="exact"/>
        <w:rPr>
          <w:rFonts w:hint="default"/>
          <w:sz w:val="24"/>
          <w:szCs w:val="24"/>
        </w:rPr>
      </w:pPr>
    </w:p>
    <w:p>
      <w:pPr>
        <w:tabs>
          <w:tab w:val="left" w:pos="2980"/>
          <w:tab w:val="left" w:pos="6100"/>
        </w:tabs>
        <w:spacing w:before="120" w:beforeLines="50" w:line="360" w:lineRule="auto"/>
        <w:jc w:val="both"/>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一、董事会会议召开情况</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lang w:val="zh-TW" w:eastAsia="zh-TW"/>
        </w:rPr>
        <w:t>、</w:t>
      </w:r>
      <w:r>
        <w:rPr>
          <w:rFonts w:ascii="宋体" w:hAnsi="宋体" w:eastAsia="宋体" w:cs="宋体"/>
          <w:sz w:val="24"/>
          <w:szCs w:val="24"/>
        </w:rPr>
        <w:t>兰州庄园牧场股份有限公司（以下简称“公司”或“庄园牧场”）2018年第一次董事会（以下简称“本次会议”）会议通知以书面或邮件方式及时向各位董事发出。会议由公司董事长马红富先生根据《公司章程》第一百二十六条第一款第（四）项的规定临时召集。</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lang w:val="zh-TW" w:eastAsia="zh-TW"/>
        </w:rPr>
        <w:t>、</w:t>
      </w:r>
      <w:r>
        <w:rPr>
          <w:rFonts w:ascii="宋体" w:hAnsi="宋体" w:eastAsia="宋体" w:cs="宋体"/>
          <w:sz w:val="24"/>
          <w:szCs w:val="24"/>
        </w:rPr>
        <w:t>本次会议于2018年2月5日在公司总部二楼会议室召开，会议采取以现场表决和通讯表决相结合的方式召开。</w:t>
      </w:r>
    </w:p>
    <w:p>
      <w:pPr>
        <w:tabs>
          <w:tab w:val="left" w:pos="2980"/>
          <w:tab w:val="left" w:pos="6100"/>
        </w:tabs>
        <w:spacing w:before="120" w:beforeLines="50" w:line="360" w:lineRule="auto"/>
        <w:ind w:firstLine="480"/>
        <w:jc w:val="both"/>
        <w:rPr>
          <w:rFonts w:hint="default" w:ascii="宋体" w:hAnsi="宋体" w:eastAsia="宋体" w:cs="宋体"/>
          <w:sz w:val="24"/>
          <w:szCs w:val="24"/>
          <w:highlight w:val="none"/>
        </w:rPr>
      </w:pPr>
      <w:r>
        <w:rPr>
          <w:rFonts w:ascii="宋体" w:hAnsi="宋体" w:eastAsia="宋体" w:cs="宋体"/>
          <w:sz w:val="24"/>
          <w:szCs w:val="24"/>
        </w:rPr>
        <w:t>3</w:t>
      </w:r>
      <w:r>
        <w:rPr>
          <w:rFonts w:ascii="宋体" w:hAnsi="宋体" w:eastAsia="宋体" w:cs="宋体"/>
          <w:sz w:val="24"/>
          <w:szCs w:val="24"/>
          <w:lang w:val="zh-TW" w:eastAsia="zh-TW"/>
        </w:rPr>
        <w:t>、</w:t>
      </w:r>
      <w:r>
        <w:rPr>
          <w:rFonts w:ascii="宋体" w:hAnsi="宋体" w:eastAsia="宋体" w:cs="宋体"/>
          <w:sz w:val="24"/>
          <w:szCs w:val="24"/>
        </w:rPr>
        <w:t>本次会议应到董事9名，实际出席并表决的董事9名</w:t>
      </w:r>
      <w:r>
        <w:rPr>
          <w:rFonts w:ascii="宋体" w:hAnsi="宋体" w:eastAsia="宋体" w:cs="宋体"/>
          <w:sz w:val="24"/>
          <w:szCs w:val="24"/>
          <w:highlight w:val="none"/>
        </w:rPr>
        <w:t>（其中董事马红富、王国福、陈玉海、阎彬参加现场表决；董事宋晓鹏、叶健聪、刘志军、信世华、黄楚恒以通讯表决方式出席会议）。</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4</w:t>
      </w:r>
      <w:r>
        <w:rPr>
          <w:rFonts w:ascii="宋体" w:hAnsi="宋体" w:eastAsia="宋体" w:cs="宋体"/>
          <w:sz w:val="24"/>
          <w:szCs w:val="24"/>
          <w:lang w:val="zh-TW" w:eastAsia="zh-TW"/>
        </w:rPr>
        <w:t>、</w:t>
      </w:r>
      <w:r>
        <w:rPr>
          <w:rFonts w:ascii="宋体" w:hAnsi="宋体" w:eastAsia="宋体" w:cs="宋体"/>
          <w:sz w:val="24"/>
          <w:szCs w:val="24"/>
        </w:rPr>
        <w:t xml:space="preserve">公司董事长马红富先生主持了会议。 </w:t>
      </w:r>
    </w:p>
    <w:p>
      <w:pPr>
        <w:tabs>
          <w:tab w:val="left" w:pos="2980"/>
          <w:tab w:val="left" w:pos="6100"/>
        </w:tabs>
        <w:spacing w:before="120" w:beforeLines="50" w:line="360" w:lineRule="auto"/>
        <w:ind w:firstLine="480"/>
        <w:jc w:val="both"/>
        <w:rPr>
          <w:rFonts w:hint="default" w:ascii="宋体" w:hAnsi="宋体" w:eastAsia="宋体" w:cs="宋体"/>
          <w:sz w:val="24"/>
          <w:szCs w:val="24"/>
          <w:lang w:val="zh-TW" w:eastAsia="zh-TW"/>
        </w:rPr>
      </w:pPr>
      <w:r>
        <w:rPr>
          <w:rFonts w:ascii="宋体" w:hAnsi="宋体" w:eastAsia="宋体" w:cs="宋体"/>
          <w:sz w:val="24"/>
          <w:szCs w:val="24"/>
        </w:rPr>
        <w:t>5</w:t>
      </w:r>
      <w:r>
        <w:rPr>
          <w:rFonts w:ascii="宋体" w:hAnsi="宋体" w:eastAsia="宋体" w:cs="宋体"/>
          <w:sz w:val="24"/>
          <w:szCs w:val="24"/>
          <w:lang w:val="zh-TW" w:eastAsia="zh-TW"/>
        </w:rPr>
        <w:t>、</w:t>
      </w:r>
      <w:r>
        <w:rPr>
          <w:rFonts w:ascii="宋体" w:hAnsi="宋体" w:eastAsia="宋体" w:cs="宋体"/>
          <w:sz w:val="24"/>
          <w:szCs w:val="24"/>
        </w:rPr>
        <w:t>本次会议的通知、召集和召开符合《中华人民共和国公司法》等法律、 行政法规、部门规章、规范性文件及《兰州庄园牧场股份有限公司章程》的有关规定。</w:t>
      </w:r>
    </w:p>
    <w:p>
      <w:pPr>
        <w:tabs>
          <w:tab w:val="left" w:pos="2980"/>
          <w:tab w:val="left" w:pos="6100"/>
        </w:tabs>
        <w:spacing w:before="120" w:beforeLines="50" w:line="360" w:lineRule="auto"/>
        <w:jc w:val="both"/>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二、董事会会议审议情况</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1、审议通过《关于修改公司章程的议案》</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 xml:space="preserve">表决情况：9票同意、0票反对、0票弃权 </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经审议，董事会成员一致同意修改公司章程以下条款：</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widowControl/>
              <w:spacing w:before="120" w:beforeLines="50" w:line="360" w:lineRule="auto"/>
              <w:jc w:val="both"/>
              <w:rPr>
                <w:rFonts w:hint="default" w:ascii="宋体" w:hAnsi="宋体" w:eastAsia="宋体" w:cs="宋体"/>
                <w:b/>
                <w:bCs/>
                <w:sz w:val="24"/>
                <w:szCs w:val="24"/>
              </w:rPr>
            </w:pPr>
            <w:r>
              <w:rPr>
                <w:rFonts w:ascii="宋体" w:hAnsi="宋体" w:eastAsia="宋体" w:cs="宋体"/>
                <w:b/>
                <w:bCs/>
                <w:sz w:val="24"/>
                <w:szCs w:val="24"/>
              </w:rPr>
              <w:t>修订前</w:t>
            </w:r>
          </w:p>
        </w:tc>
        <w:tc>
          <w:tcPr>
            <w:tcW w:w="4261" w:type="dxa"/>
          </w:tcPr>
          <w:p>
            <w:pPr>
              <w:widowControl/>
              <w:spacing w:before="120" w:beforeLines="50" w:line="360" w:lineRule="auto"/>
              <w:jc w:val="both"/>
              <w:rPr>
                <w:rFonts w:hint="default" w:ascii="宋体" w:hAnsi="宋体" w:eastAsia="宋体" w:cs="宋体"/>
                <w:b/>
                <w:bCs/>
                <w:sz w:val="24"/>
                <w:szCs w:val="24"/>
              </w:rPr>
            </w:pPr>
            <w:r>
              <w:rPr>
                <w:rFonts w:ascii="宋体" w:hAnsi="宋体" w:eastAsia="宋体" w:cs="宋体"/>
                <w:b/>
                <w:bCs/>
                <w:sz w:val="24"/>
                <w:szCs w:val="24"/>
              </w:rPr>
              <w:t>修订后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widowControl/>
              <w:spacing w:before="120" w:beforeLines="50" w:line="360" w:lineRule="auto"/>
              <w:jc w:val="both"/>
              <w:rPr>
                <w:rFonts w:hint="default" w:ascii="宋体" w:hAnsi="宋体" w:eastAsia="宋体" w:cs="宋体"/>
                <w:sz w:val="24"/>
                <w:szCs w:val="24"/>
              </w:rPr>
            </w:pPr>
            <w:r>
              <w:rPr>
                <w:rFonts w:ascii="宋体" w:hAnsi="宋体" w:eastAsia="宋体" w:cs="宋体"/>
                <w:sz w:val="24"/>
                <w:szCs w:val="24"/>
              </w:rPr>
              <w:t>第一百八十三条 公司的财务报表除应当按中国会计准则及法规编制外，还应当按国际或者境外上市地会计准则编制。如按两种会计准则编制的财务报表有重要出入，应当在财务报表附注中加以注明。公司在分配有关会计年度的税后利润时，以前述两种财务报表中税后利润数较少者为准。</w:t>
            </w:r>
          </w:p>
        </w:tc>
        <w:tc>
          <w:tcPr>
            <w:tcW w:w="4261" w:type="dxa"/>
            <w:vAlign w:val="center"/>
          </w:tcPr>
          <w:p>
            <w:pPr>
              <w:widowControl/>
              <w:spacing w:before="120" w:beforeLines="50" w:line="360" w:lineRule="auto"/>
              <w:jc w:val="both"/>
              <w:rPr>
                <w:rFonts w:hint="default" w:ascii="宋体" w:hAnsi="宋体" w:eastAsia="宋体" w:cs="宋体"/>
                <w:sz w:val="24"/>
                <w:szCs w:val="24"/>
              </w:rPr>
            </w:pPr>
            <w:r>
              <w:rPr>
                <w:rFonts w:ascii="宋体" w:hAnsi="宋体" w:eastAsia="宋体" w:cs="宋体"/>
                <w:sz w:val="24"/>
                <w:szCs w:val="24"/>
              </w:rPr>
              <w:t>第一百八十三条 公司的财务报表应当按中国企业会计准则及法规编制。</w:t>
            </w:r>
          </w:p>
          <w:p>
            <w:pPr>
              <w:widowControl/>
              <w:spacing w:before="120" w:beforeLines="50" w:line="360" w:lineRule="auto"/>
              <w:jc w:val="both"/>
              <w:rPr>
                <w:rFonts w:hint="default"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widowControl/>
              <w:spacing w:before="120" w:beforeLines="50" w:line="360" w:lineRule="auto"/>
              <w:jc w:val="both"/>
              <w:rPr>
                <w:rFonts w:hint="default" w:ascii="宋体" w:hAnsi="宋体" w:eastAsia="宋体" w:cs="宋体"/>
                <w:sz w:val="24"/>
                <w:szCs w:val="24"/>
              </w:rPr>
            </w:pPr>
            <w:r>
              <w:rPr>
                <w:rFonts w:ascii="宋体" w:hAnsi="宋体" w:eastAsia="宋体" w:cs="宋体"/>
                <w:sz w:val="24"/>
                <w:szCs w:val="24"/>
              </w:rPr>
              <w:t>第一百八十四条 公司公布或者披露的中期业绩或者财务资料应当按中国会计准则及法规编制，同时按国际或者境外上市地会计准则编制。</w:t>
            </w:r>
          </w:p>
        </w:tc>
        <w:tc>
          <w:tcPr>
            <w:tcW w:w="4261" w:type="dxa"/>
            <w:vAlign w:val="center"/>
          </w:tcPr>
          <w:p>
            <w:pPr>
              <w:widowControl/>
              <w:spacing w:before="120" w:beforeLines="50" w:line="360" w:lineRule="auto"/>
              <w:jc w:val="both"/>
              <w:rPr>
                <w:rFonts w:hint="default" w:ascii="宋体" w:hAnsi="宋体" w:eastAsia="宋体" w:cs="宋体"/>
                <w:sz w:val="24"/>
                <w:szCs w:val="24"/>
              </w:rPr>
            </w:pPr>
            <w:r>
              <w:rPr>
                <w:rFonts w:ascii="宋体" w:hAnsi="宋体" w:eastAsia="宋体" w:cs="宋体"/>
                <w:sz w:val="24"/>
                <w:szCs w:val="24"/>
              </w:rPr>
              <w:t>第一百八十四条 公司公布或者披露的中期业绩或者财务资料应当按中国企业会计准则及法规编制。</w:t>
            </w:r>
          </w:p>
          <w:p>
            <w:pPr>
              <w:widowControl/>
              <w:spacing w:before="120" w:beforeLines="50" w:line="360" w:lineRule="auto"/>
              <w:jc w:val="both"/>
              <w:rPr>
                <w:rFonts w:hint="default" w:ascii="宋体" w:hAnsi="宋体" w:eastAsia="宋体" w:cs="宋体"/>
                <w:sz w:val="24"/>
                <w:szCs w:val="24"/>
              </w:rPr>
            </w:pPr>
          </w:p>
        </w:tc>
      </w:tr>
    </w:tbl>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本议案需提交股东大会审议。</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修改内容详见公司披露于</w:t>
      </w:r>
      <w:r>
        <w:rPr>
          <w:rFonts w:ascii="宋体" w:hAnsi="宋体" w:eastAsia="宋体" w:cs="宋体"/>
          <w:sz w:val="24"/>
          <w:szCs w:val="24"/>
          <w:lang w:val="zh-TW" w:eastAsia="zh-TW"/>
        </w:rPr>
        <w:t>《证券时报》、《证券日报》、《中国证券报》、《上海证券报》及巨潮资讯网（</w:t>
      </w:r>
      <w:r>
        <w:rPr>
          <w:rFonts w:ascii="宋体" w:hAnsi="宋体" w:eastAsia="宋体" w:cs="宋体"/>
          <w:sz w:val="24"/>
          <w:szCs w:val="24"/>
        </w:rPr>
        <w:t>http://www.cninfo.com.cn</w:t>
      </w:r>
      <w:r>
        <w:rPr>
          <w:rFonts w:ascii="宋体" w:hAnsi="宋体" w:eastAsia="宋体" w:cs="宋体"/>
          <w:sz w:val="24"/>
          <w:szCs w:val="24"/>
          <w:lang w:val="zh-TW" w:eastAsia="zh-TW"/>
        </w:rPr>
        <w:t>）</w:t>
      </w:r>
      <w:r>
        <w:rPr>
          <w:rFonts w:ascii="宋体" w:hAnsi="宋体" w:eastAsia="宋体" w:cs="宋体"/>
          <w:sz w:val="24"/>
          <w:szCs w:val="24"/>
          <w:lang w:val="zh-TW"/>
        </w:rPr>
        <w:t>的《兰州庄园牧场股份有限公司关于修改公司章程的公告》。</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2.审议通过《关于公司仅采用内地会计准则编制财务报表的议案》</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表决情况：9票同意、0票反对、0票弃权</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经审议，董事会成员一致同意公司仅采用内地的企业会计准则编制单一份财务报表，而不再另外编制符合《国际财务报告准则》的财务报表；公司在香港联交所及深圳证券交易所公布或者披露的中期业绩或者财务资料也将仅以内地的企业会计准则编制。</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本议案需提交股东大会审议。</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本议案经公司董事会、监事会审议通过后，尚待于本次董事会同时提交的《关于修改公司章程的议案》（其中包含修改公司章程中有关编制财务报表的相关条款）在公司股东大会审议通过后方可生效。</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3.审议通过《关于会计政策变更的议案》</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表决情况：9票同意、0票反对、0票弃权</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highlight w:val="none"/>
        </w:rPr>
      </w:pPr>
      <w:r>
        <w:rPr>
          <w:rFonts w:ascii="宋体" w:hAnsi="宋体" w:eastAsia="宋体" w:cs="宋体"/>
          <w:sz w:val="24"/>
          <w:szCs w:val="24"/>
          <w:highlight w:val="none"/>
        </w:rPr>
        <w:t>经审议，董事会成员一致同意公司按照</w:t>
      </w:r>
      <w:r>
        <w:rPr>
          <w:rFonts w:hint="default" w:ascii="宋体" w:hAnsi="宋体" w:eastAsia="宋体" w:cs="宋体"/>
          <w:sz w:val="24"/>
          <w:szCs w:val="24"/>
          <w:highlight w:val="none"/>
        </w:rPr>
        <w:t>2017年财政部先后修订及新发布的</w:t>
      </w:r>
      <w:r>
        <w:rPr>
          <w:rFonts w:ascii="宋体" w:hAnsi="宋体" w:eastAsia="宋体" w:cs="宋体"/>
          <w:sz w:val="24"/>
          <w:szCs w:val="24"/>
          <w:highlight w:val="none"/>
        </w:rPr>
        <w:t>相关会计准则变更会计政策，并在规定的起始日执行。</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本议案由公司董事会、监事会审议批准后即生效，无需提交股东大会审议批准。</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公司独立董事对本事项发表了独立意见，具体内容详见同日刊登于巨潮资讯网（www.cninfo.com.cn）上的《兰州庄园牧场股份有限公司独立董事关于会计政策变更的独立意见》。</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有关变更内容详见公司披露于</w:t>
      </w:r>
      <w:r>
        <w:rPr>
          <w:rFonts w:ascii="宋体" w:hAnsi="宋体" w:eastAsia="宋体" w:cs="宋体"/>
          <w:sz w:val="24"/>
          <w:szCs w:val="24"/>
          <w:lang w:val="zh-TW" w:eastAsia="zh-TW"/>
        </w:rPr>
        <w:t>《证券时报》、《证券日报》、《中国证券报》、《上海证券报》及巨潮资讯网（</w:t>
      </w:r>
      <w:r>
        <w:rPr>
          <w:rFonts w:ascii="宋体" w:hAnsi="宋体" w:eastAsia="宋体" w:cs="宋体"/>
          <w:sz w:val="24"/>
          <w:szCs w:val="24"/>
        </w:rPr>
        <w:t>http://www.cninfo.com.cn</w:t>
      </w:r>
      <w:r>
        <w:rPr>
          <w:rFonts w:ascii="宋体" w:hAnsi="宋体" w:eastAsia="宋体" w:cs="宋体"/>
          <w:sz w:val="24"/>
          <w:szCs w:val="24"/>
          <w:lang w:val="zh-TW" w:eastAsia="zh-TW"/>
        </w:rPr>
        <w:t>）</w:t>
      </w:r>
      <w:r>
        <w:rPr>
          <w:rFonts w:ascii="宋体" w:hAnsi="宋体" w:eastAsia="宋体" w:cs="宋体"/>
          <w:sz w:val="24"/>
          <w:szCs w:val="24"/>
          <w:lang w:val="zh-TW"/>
        </w:rPr>
        <w:t>的《兰州庄园牧场股份有限公司关于会计政策变更的公告》。</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4.审议通过《关于聘任毕马威华振会计师事务所（特殊普通合伙）为公司2017年度审计机构的议案》</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表决情况：9票同意、0票反对、0票弃权</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经审议，董事会成员一致同意公司终止聘任2017年度境外核数师毕马威会计师事务所；公司聘任毕马威华振会计师事务所（特殊普通合伙）为本公司2017年度的审计机构，任期直至本公司2017年股东周年大会结束为止，负责公司2017年年度审计工作。</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本议案需提交股东大会审议。</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highlight w:val="none"/>
        </w:rPr>
      </w:pPr>
      <w:r>
        <w:rPr>
          <w:rFonts w:ascii="宋体" w:hAnsi="宋体" w:eastAsia="宋体" w:cs="宋体"/>
          <w:sz w:val="24"/>
          <w:szCs w:val="24"/>
        </w:rPr>
        <w:t>公司独立董事对本事项发表了事前认可意见，具体内容详见同日刊登于巨潮资讯网（www.cninfo.com.cn）上的《</w:t>
      </w:r>
      <w:r>
        <w:rPr>
          <w:rFonts w:ascii="宋体" w:hAnsi="宋体" w:eastAsia="宋体" w:cs="宋体"/>
          <w:sz w:val="24"/>
          <w:szCs w:val="24"/>
          <w:highlight w:val="none"/>
        </w:rPr>
        <w:t>兰州庄园牧场股份有限公司独立董事关于聘任毕马威华振会计师事务所（特殊普通合伙）为公司2017年度审计机构的事前认可意见》。</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highlight w:val="none"/>
        </w:rPr>
      </w:pPr>
      <w:r>
        <w:rPr>
          <w:rFonts w:ascii="宋体" w:hAnsi="宋体" w:eastAsia="宋体" w:cs="宋体"/>
          <w:sz w:val="24"/>
          <w:szCs w:val="24"/>
        </w:rPr>
        <w:t>公司独立董事对本事项发表了独立意见，具体内容详见同日刊登于巨潮资讯网（www.cninfo.com.cn）上的</w:t>
      </w:r>
      <w:r>
        <w:rPr>
          <w:rFonts w:ascii="宋体" w:hAnsi="宋体" w:eastAsia="宋体" w:cs="宋体"/>
          <w:sz w:val="24"/>
          <w:szCs w:val="24"/>
          <w:highlight w:val="none"/>
        </w:rPr>
        <w:t>《兰州庄园牧场股份有限公司独立董事关于聘任毕马威华振会计师事务所（特殊普通合伙）为公司2017年度审计机构的独立意见》。</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highlight w:val="none"/>
          <w:lang w:val="zh-TW"/>
        </w:rPr>
      </w:pPr>
      <w:r>
        <w:rPr>
          <w:rFonts w:ascii="宋体" w:hAnsi="宋体" w:eastAsia="宋体" w:cs="宋体"/>
          <w:sz w:val="24"/>
          <w:szCs w:val="24"/>
          <w:highlight w:val="none"/>
        </w:rPr>
        <w:t>有关变更会计师事务所内容详见公司披露于</w:t>
      </w:r>
      <w:r>
        <w:rPr>
          <w:rFonts w:ascii="宋体" w:hAnsi="宋体" w:eastAsia="宋体" w:cs="宋体"/>
          <w:sz w:val="24"/>
          <w:szCs w:val="24"/>
          <w:highlight w:val="none"/>
          <w:lang w:val="zh-TW" w:eastAsia="zh-TW"/>
        </w:rPr>
        <w:t>《证券时报》、《证券日报》、《中国证券报》、《上海证券报》及巨潮资讯网（</w:t>
      </w:r>
      <w:r>
        <w:rPr>
          <w:rFonts w:ascii="宋体" w:hAnsi="宋体" w:eastAsia="宋体" w:cs="宋体"/>
          <w:sz w:val="24"/>
          <w:szCs w:val="24"/>
          <w:highlight w:val="none"/>
        </w:rPr>
        <w:t>http://www.cninfo.com.cn</w:t>
      </w:r>
      <w:r>
        <w:rPr>
          <w:rFonts w:ascii="宋体" w:hAnsi="宋体" w:eastAsia="宋体" w:cs="宋体"/>
          <w:sz w:val="24"/>
          <w:szCs w:val="24"/>
          <w:highlight w:val="none"/>
          <w:lang w:val="zh-TW" w:eastAsia="zh-TW"/>
        </w:rPr>
        <w:t>）</w:t>
      </w:r>
      <w:r>
        <w:rPr>
          <w:rFonts w:ascii="宋体" w:hAnsi="宋体" w:eastAsia="宋体" w:cs="宋体"/>
          <w:sz w:val="24"/>
          <w:szCs w:val="24"/>
          <w:highlight w:val="none"/>
          <w:lang w:val="zh-TW"/>
        </w:rPr>
        <w:t>的《兰州庄园牧场股份有限公司关于</w:t>
      </w:r>
      <w:r>
        <w:rPr>
          <w:rFonts w:ascii="宋体" w:hAnsi="宋体" w:eastAsia="宋体" w:cs="宋体"/>
          <w:sz w:val="24"/>
          <w:szCs w:val="24"/>
          <w:highlight w:val="none"/>
        </w:rPr>
        <w:t>聘任毕马威华振会计师事务所（特殊普通合伙）为公司2017年度审计机构</w:t>
      </w:r>
      <w:r>
        <w:rPr>
          <w:rFonts w:ascii="宋体" w:hAnsi="宋体" w:eastAsia="宋体" w:cs="宋体"/>
          <w:sz w:val="24"/>
          <w:szCs w:val="24"/>
          <w:highlight w:val="none"/>
          <w:lang w:val="zh-TW"/>
        </w:rPr>
        <w:t>的公告》。</w:t>
      </w:r>
    </w:p>
    <w:p>
      <w:pPr>
        <w:tabs>
          <w:tab w:val="left" w:pos="2980"/>
          <w:tab w:val="left" w:pos="6100"/>
        </w:tabs>
        <w:spacing w:before="120" w:beforeLines="50" w:line="360" w:lineRule="auto"/>
        <w:ind w:firstLine="480"/>
        <w:jc w:val="both"/>
        <w:rPr>
          <w:rFonts w:hint="default" w:ascii="宋体" w:hAnsi="宋体" w:eastAsia="宋体" w:cs="宋体"/>
          <w:sz w:val="24"/>
          <w:szCs w:val="24"/>
        </w:rPr>
      </w:pPr>
      <w:r>
        <w:rPr>
          <w:rFonts w:ascii="宋体" w:hAnsi="宋体" w:eastAsia="宋体" w:cs="宋体"/>
          <w:sz w:val="24"/>
          <w:szCs w:val="24"/>
          <w:highlight w:val="none"/>
        </w:rPr>
        <w:t>5.审议通过《关于召开2018年第一次临时股</w:t>
      </w:r>
      <w:r>
        <w:rPr>
          <w:rFonts w:ascii="宋体" w:hAnsi="宋体" w:eastAsia="宋体" w:cs="宋体"/>
          <w:sz w:val="24"/>
          <w:szCs w:val="24"/>
        </w:rPr>
        <w:t>东大会的议案》</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表决情况：9票同意、0票反对、0票弃权</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highlight w:val="yellow"/>
        </w:rPr>
      </w:pPr>
      <w:r>
        <w:rPr>
          <w:rFonts w:ascii="宋体" w:hAnsi="宋体" w:eastAsia="宋体" w:cs="宋体"/>
          <w:sz w:val="24"/>
          <w:szCs w:val="24"/>
        </w:rPr>
        <w:t>经审议，董事会成员一致同意公司于2018年3月26日（星期一）在甘肃省兰州市城关区雁儿湾路158号公司总部二楼会议室召开2018年第一次临时股东大会，具体内容详见与本公告同日刊登的《兰州庄园牧场股份有限公司关于召开2018年第一次临时股东大会会议通知》。</w:t>
      </w:r>
    </w:p>
    <w:p>
      <w:pPr>
        <w:tabs>
          <w:tab w:val="left" w:pos="2980"/>
          <w:tab w:val="left" w:pos="6100"/>
        </w:tabs>
        <w:spacing w:before="120" w:beforeLines="50" w:line="360" w:lineRule="auto"/>
        <w:jc w:val="both"/>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三、备查文件</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1、公司2018年第一次董事会会议决议</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2、兰州庄园牧场股份有限公司独立董事关于会计政策变更的独立意见</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3、兰州庄园牧场股份有限公司独立董事关于聘任毕马威华振会计师事务所（特殊普通合伙）为公司2017年度审计机构的事前认可意见</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4、兰州庄园牧场股份有限公司独立董事关于聘任毕马威华振会计师事务所（特殊普通合伙）为公司2017年度审计机构的独立意见</w:t>
      </w: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p>
    <w:p>
      <w:pPr>
        <w:tabs>
          <w:tab w:val="left" w:pos="2980"/>
          <w:tab w:val="left" w:pos="6100"/>
        </w:tabs>
        <w:spacing w:before="120"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特此公告</w:t>
      </w:r>
      <w:bookmarkStart w:id="0" w:name="_GoBack"/>
      <w:bookmarkEnd w:id="0"/>
    </w:p>
    <w:p>
      <w:pPr>
        <w:tabs>
          <w:tab w:val="left" w:pos="2980"/>
          <w:tab w:val="left" w:pos="6100"/>
        </w:tabs>
        <w:spacing w:line="360" w:lineRule="auto"/>
        <w:jc w:val="both"/>
        <w:rPr>
          <w:rFonts w:hint="default" w:ascii="宋体" w:hAnsi="宋体" w:eastAsia="宋体" w:cs="宋体"/>
          <w:sz w:val="24"/>
          <w:szCs w:val="24"/>
          <w:lang w:val="zh-TW" w:eastAsia="zh-TW"/>
        </w:rPr>
      </w:pPr>
    </w:p>
    <w:p>
      <w:pPr>
        <w:tabs>
          <w:tab w:val="left" w:pos="2980"/>
          <w:tab w:val="left" w:pos="6100"/>
        </w:tabs>
        <w:spacing w:line="360" w:lineRule="auto"/>
        <w:jc w:val="both"/>
        <w:rPr>
          <w:rFonts w:hint="default" w:ascii="宋体" w:hAnsi="宋体" w:eastAsia="宋体" w:cs="宋体"/>
          <w:sz w:val="24"/>
          <w:szCs w:val="24"/>
          <w:lang w:val="zh-TW" w:eastAsia="zh-TW"/>
        </w:rPr>
      </w:pPr>
    </w:p>
    <w:p>
      <w:pPr>
        <w:tabs>
          <w:tab w:val="left" w:pos="2980"/>
          <w:tab w:val="left" w:pos="6100"/>
        </w:tabs>
        <w:spacing w:line="360" w:lineRule="auto"/>
        <w:ind w:firstLine="4560" w:firstLineChars="1900"/>
        <w:jc w:val="both"/>
        <w:rPr>
          <w:rFonts w:hint="default" w:ascii="宋体" w:hAnsi="宋体" w:eastAsia="宋体" w:cs="宋体"/>
          <w:sz w:val="24"/>
          <w:szCs w:val="24"/>
          <w:lang w:val="zh-TW" w:eastAsia="zh-TW"/>
        </w:rPr>
      </w:pPr>
      <w:r>
        <w:rPr>
          <w:rFonts w:ascii="宋体" w:hAnsi="宋体" w:eastAsia="宋体" w:cs="宋体"/>
          <w:sz w:val="24"/>
          <w:szCs w:val="24"/>
          <w:lang w:val="zh-TW" w:eastAsia="zh-TW"/>
        </w:rPr>
        <w:t>兰州庄园牧场股份有限公司董事会</w:t>
      </w:r>
    </w:p>
    <w:p>
      <w:pPr>
        <w:tabs>
          <w:tab w:val="left" w:pos="2980"/>
          <w:tab w:val="left" w:pos="6100"/>
        </w:tabs>
        <w:spacing w:line="360" w:lineRule="auto"/>
        <w:ind w:firstLine="5760"/>
        <w:jc w:val="both"/>
        <w:rPr>
          <w:rFonts w:hint="default"/>
        </w:rPr>
      </w:pPr>
      <w:r>
        <w:rPr>
          <w:rFonts w:ascii="宋体" w:hAnsi="宋体" w:eastAsia="宋体" w:cs="宋体"/>
          <w:sz w:val="24"/>
          <w:szCs w:val="24"/>
        </w:rPr>
        <w:t>2018</w:t>
      </w:r>
      <w:r>
        <w:rPr>
          <w:rFonts w:ascii="宋体" w:hAnsi="宋体" w:eastAsia="宋体" w:cs="宋体"/>
          <w:sz w:val="24"/>
          <w:szCs w:val="24"/>
          <w:lang w:val="zh-CN"/>
        </w:rPr>
        <w:t>年</w:t>
      </w:r>
      <w:r>
        <w:rPr>
          <w:rFonts w:ascii="宋体" w:hAnsi="宋体" w:eastAsia="宋体" w:cs="宋体"/>
          <w:sz w:val="24"/>
          <w:szCs w:val="24"/>
        </w:rPr>
        <w:t>2</w:t>
      </w:r>
      <w:r>
        <w:rPr>
          <w:rFonts w:ascii="宋体" w:hAnsi="宋体" w:eastAsia="宋体" w:cs="宋体"/>
          <w:sz w:val="24"/>
          <w:szCs w:val="24"/>
          <w:lang w:val="zh-TW" w:eastAsia="zh-TW"/>
        </w:rPr>
        <w:t>月</w:t>
      </w:r>
      <w:r>
        <w:rPr>
          <w:rFonts w:ascii="宋体" w:hAnsi="宋体" w:eastAsia="宋体" w:cs="宋体"/>
          <w:sz w:val="24"/>
          <w:szCs w:val="24"/>
        </w:rPr>
        <w:t>5</w:t>
      </w:r>
      <w:r>
        <w:rPr>
          <w:rFonts w:ascii="宋体" w:hAnsi="宋体" w:eastAsia="宋体" w:cs="宋体"/>
          <w:sz w:val="24"/>
          <w:szCs w:val="24"/>
          <w:lang w:val="zh-TW" w:eastAsia="zh-TW"/>
        </w:rPr>
        <w:t>日</w:t>
      </w: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498"/>
    <w:rsid w:val="00062A63"/>
    <w:rsid w:val="0007228D"/>
    <w:rsid w:val="0013457D"/>
    <w:rsid w:val="0015177D"/>
    <w:rsid w:val="003C43A2"/>
    <w:rsid w:val="003E05F4"/>
    <w:rsid w:val="004877B3"/>
    <w:rsid w:val="004E59CF"/>
    <w:rsid w:val="006868CE"/>
    <w:rsid w:val="006A30EF"/>
    <w:rsid w:val="00717D82"/>
    <w:rsid w:val="00792A6D"/>
    <w:rsid w:val="007F1D65"/>
    <w:rsid w:val="007F7133"/>
    <w:rsid w:val="00941830"/>
    <w:rsid w:val="009A3734"/>
    <w:rsid w:val="009C1C15"/>
    <w:rsid w:val="00B42F24"/>
    <w:rsid w:val="00BA4F83"/>
    <w:rsid w:val="00BC4796"/>
    <w:rsid w:val="00C60498"/>
    <w:rsid w:val="00C62CFD"/>
    <w:rsid w:val="00D40196"/>
    <w:rsid w:val="00EE4EF5"/>
    <w:rsid w:val="019A0735"/>
    <w:rsid w:val="03A17F4C"/>
    <w:rsid w:val="06211C4B"/>
    <w:rsid w:val="08974BD8"/>
    <w:rsid w:val="097073A6"/>
    <w:rsid w:val="0CD17CDF"/>
    <w:rsid w:val="13735A89"/>
    <w:rsid w:val="13C379D2"/>
    <w:rsid w:val="17DF0BF4"/>
    <w:rsid w:val="19543678"/>
    <w:rsid w:val="1A24697B"/>
    <w:rsid w:val="1C8917D0"/>
    <w:rsid w:val="1CA46F9C"/>
    <w:rsid w:val="1F4B71CC"/>
    <w:rsid w:val="1FC02ED5"/>
    <w:rsid w:val="21F14974"/>
    <w:rsid w:val="22737996"/>
    <w:rsid w:val="2300328E"/>
    <w:rsid w:val="27555F25"/>
    <w:rsid w:val="27900824"/>
    <w:rsid w:val="2B5F13F0"/>
    <w:rsid w:val="300C6E1F"/>
    <w:rsid w:val="35404590"/>
    <w:rsid w:val="367B41CD"/>
    <w:rsid w:val="36AE7FF2"/>
    <w:rsid w:val="37AA14F3"/>
    <w:rsid w:val="3A1C510D"/>
    <w:rsid w:val="3B0A10BC"/>
    <w:rsid w:val="3D2F6FA9"/>
    <w:rsid w:val="40401F64"/>
    <w:rsid w:val="405904C3"/>
    <w:rsid w:val="44750224"/>
    <w:rsid w:val="49EF4CA1"/>
    <w:rsid w:val="4ED91A22"/>
    <w:rsid w:val="51BB29BB"/>
    <w:rsid w:val="547B1C18"/>
    <w:rsid w:val="54A372EC"/>
    <w:rsid w:val="566E7170"/>
    <w:rsid w:val="59214126"/>
    <w:rsid w:val="5A7127C9"/>
    <w:rsid w:val="5F406ACC"/>
    <w:rsid w:val="62426D48"/>
    <w:rsid w:val="629C01DF"/>
    <w:rsid w:val="6379427B"/>
    <w:rsid w:val="64AC31AF"/>
    <w:rsid w:val="66332D9F"/>
    <w:rsid w:val="66F46A2E"/>
    <w:rsid w:val="68DB70CE"/>
    <w:rsid w:val="68F84ADD"/>
    <w:rsid w:val="6A0D24FA"/>
    <w:rsid w:val="6D9336DC"/>
    <w:rsid w:val="6EDF5DC3"/>
    <w:rsid w:val="70383B3A"/>
    <w:rsid w:val="70BE0BFD"/>
    <w:rsid w:val="721A4E51"/>
    <w:rsid w:val="729A5059"/>
    <w:rsid w:val="741F48C3"/>
    <w:rsid w:val="74DE1815"/>
    <w:rsid w:val="750F096B"/>
    <w:rsid w:val="7B010100"/>
    <w:rsid w:val="7C0F460F"/>
    <w:rsid w:val="7D6A7D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eastAsia" w:ascii="Arial Unicode MS" w:hAnsi="Arial Unicode MS" w:eastAsia="Arial Unicode MS" w:cs="Arial Unicode MS"/>
      <w:color w:val="000000"/>
      <w:sz w:val="21"/>
      <w:szCs w:val="21"/>
      <w:u w:color="000000"/>
      <w:lang w:val="en-US" w:eastAsia="zh-CN" w:bidi="ar-SA"/>
    </w:rPr>
  </w:style>
  <w:style w:type="character" w:default="1" w:styleId="8">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0"/>
    <w:unhideWhenUsed/>
    <w:qFormat/>
    <w:uiPriority w:val="99"/>
    <w:rPr>
      <w:b/>
      <w:bCs/>
    </w:rPr>
  </w:style>
  <w:style w:type="paragraph" w:styleId="3">
    <w:name w:val="annotation text"/>
    <w:basedOn w:val="1"/>
    <w:link w:val="19"/>
    <w:unhideWhenUsed/>
    <w:qFormat/>
    <w:uiPriority w:val="99"/>
  </w:style>
  <w:style w:type="paragraph" w:styleId="4">
    <w:name w:val="Document Map"/>
    <w:basedOn w:val="1"/>
    <w:link w:val="15"/>
    <w:unhideWhenUsed/>
    <w:qFormat/>
    <w:uiPriority w:val="99"/>
    <w:rPr>
      <w:rFonts w:ascii="宋体" w:eastAsia="宋体"/>
      <w:sz w:val="18"/>
      <w:szCs w:val="18"/>
    </w:rPr>
  </w:style>
  <w:style w:type="paragraph" w:styleId="5">
    <w:name w:val="Balloon Text"/>
    <w:basedOn w:val="1"/>
    <w:link w:val="18"/>
    <w:unhideWhenUsed/>
    <w:qFormat/>
    <w:uiPriority w:val="99"/>
    <w:rPr>
      <w:rFonts w:ascii="宋体" w:eastAsia="宋体"/>
      <w:sz w:val="18"/>
      <w:szCs w:val="18"/>
    </w:rPr>
  </w:style>
  <w:style w:type="paragraph" w:styleId="6">
    <w:name w:val="footer"/>
    <w:basedOn w:val="1"/>
    <w:link w:val="17"/>
    <w:unhideWhenUsed/>
    <w:qFormat/>
    <w:uiPriority w:val="99"/>
    <w:pPr>
      <w:tabs>
        <w:tab w:val="center" w:pos="4153"/>
        <w:tab w:val="right" w:pos="8306"/>
      </w:tabs>
      <w:snapToGrid w:val="0"/>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qFormat/>
    <w:uiPriority w:val="0"/>
    <w:rPr>
      <w:u w:val="single"/>
    </w:rPr>
  </w:style>
  <w:style w:type="character" w:styleId="10">
    <w:name w:val="annotation reference"/>
    <w:basedOn w:val="8"/>
    <w:unhideWhenUsed/>
    <w:qFormat/>
    <w:uiPriority w:val="99"/>
    <w:rPr>
      <w:sz w:val="21"/>
      <w:szCs w:val="21"/>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3">
    <w:name w:val="Table Normal"/>
    <w:qFormat/>
    <w:uiPriority w:val="0"/>
    <w:tblPr>
      <w:tblLayout w:type="fixed"/>
      <w:tblCellMar>
        <w:top w:w="0" w:type="dxa"/>
        <w:left w:w="0" w:type="dxa"/>
        <w:bottom w:w="0" w:type="dxa"/>
        <w:right w:w="0" w:type="dxa"/>
      </w:tblCellMar>
    </w:tblPr>
  </w:style>
  <w:style w:type="paragraph" w:customStyle="1" w:styleId="14">
    <w:name w:val="页眉与页脚"/>
    <w:qFormat/>
    <w:uiPriority w:val="0"/>
    <w:pPr>
      <w:tabs>
        <w:tab w:val="right" w:pos="9020"/>
      </w:tabs>
    </w:pPr>
    <w:rPr>
      <w:rFonts w:ascii="Helvetica" w:hAnsi="Helvetica" w:eastAsia="Arial Unicode MS" w:cs="Arial Unicode MS"/>
      <w:color w:val="000000"/>
      <w:sz w:val="24"/>
      <w:szCs w:val="24"/>
      <w:lang w:val="en-US" w:eastAsia="zh-CN" w:bidi="ar-SA"/>
    </w:rPr>
  </w:style>
  <w:style w:type="character" w:customStyle="1" w:styleId="15">
    <w:name w:val="文档结构图 Char"/>
    <w:basedOn w:val="8"/>
    <w:link w:val="4"/>
    <w:semiHidden/>
    <w:qFormat/>
    <w:uiPriority w:val="99"/>
    <w:rPr>
      <w:rFonts w:ascii="宋体" w:hAnsi="Arial Unicode MS" w:eastAsia="宋体" w:cs="Arial Unicode MS"/>
      <w:color w:val="000000"/>
      <w:sz w:val="18"/>
      <w:szCs w:val="18"/>
      <w:u w:color="000000"/>
    </w:rPr>
  </w:style>
  <w:style w:type="character" w:customStyle="1" w:styleId="16">
    <w:name w:val="页眉 Char"/>
    <w:basedOn w:val="8"/>
    <w:link w:val="7"/>
    <w:semiHidden/>
    <w:qFormat/>
    <w:uiPriority w:val="99"/>
    <w:rPr>
      <w:rFonts w:ascii="Arial Unicode MS" w:hAnsi="Arial Unicode MS" w:eastAsia="Arial Unicode MS" w:cs="Arial Unicode MS"/>
      <w:color w:val="000000"/>
      <w:sz w:val="18"/>
      <w:szCs w:val="18"/>
      <w:u w:color="000000"/>
    </w:rPr>
  </w:style>
  <w:style w:type="character" w:customStyle="1" w:styleId="17">
    <w:name w:val="页脚 Char"/>
    <w:basedOn w:val="8"/>
    <w:link w:val="6"/>
    <w:semiHidden/>
    <w:qFormat/>
    <w:uiPriority w:val="99"/>
    <w:rPr>
      <w:rFonts w:ascii="Arial Unicode MS" w:hAnsi="Arial Unicode MS" w:eastAsia="Arial Unicode MS" w:cs="Arial Unicode MS"/>
      <w:color w:val="000000"/>
      <w:sz w:val="18"/>
      <w:szCs w:val="18"/>
      <w:u w:color="000000"/>
    </w:rPr>
  </w:style>
  <w:style w:type="character" w:customStyle="1" w:styleId="18">
    <w:name w:val="批注框文本 Char"/>
    <w:basedOn w:val="8"/>
    <w:link w:val="5"/>
    <w:semiHidden/>
    <w:qFormat/>
    <w:uiPriority w:val="99"/>
    <w:rPr>
      <w:rFonts w:ascii="宋体" w:hAnsi="Arial Unicode MS" w:cs="Arial Unicode MS"/>
      <w:color w:val="000000"/>
      <w:sz w:val="18"/>
      <w:szCs w:val="18"/>
      <w:u w:color="000000"/>
    </w:rPr>
  </w:style>
  <w:style w:type="character" w:customStyle="1" w:styleId="19">
    <w:name w:val="批注文字 Char"/>
    <w:basedOn w:val="8"/>
    <w:link w:val="3"/>
    <w:semiHidden/>
    <w:qFormat/>
    <w:uiPriority w:val="99"/>
    <w:rPr>
      <w:rFonts w:ascii="Arial Unicode MS" w:hAnsi="Arial Unicode MS" w:eastAsia="Arial Unicode MS" w:cs="Arial Unicode MS"/>
      <w:color w:val="000000"/>
      <w:sz w:val="21"/>
      <w:szCs w:val="21"/>
      <w:u w:color="000000"/>
    </w:rPr>
  </w:style>
  <w:style w:type="character" w:customStyle="1" w:styleId="20">
    <w:name w:val="批注主题 Char"/>
    <w:basedOn w:val="19"/>
    <w:link w:val="2"/>
    <w:semiHidden/>
    <w:qFormat/>
    <w:uiPriority w:val="99"/>
    <w:rPr>
      <w:rFonts w:ascii="Arial Unicode MS" w:hAnsi="Arial Unicode MS" w:eastAsia="Arial Unicode MS" w:cs="Arial Unicode MS"/>
      <w:b/>
      <w:bCs/>
      <w:color w:val="000000"/>
      <w:sz w:val="21"/>
      <w:szCs w:val="21"/>
      <w:u w:color="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甘肃正天合律师事务所</Company>
  <Pages>4</Pages>
  <Words>376</Words>
  <Characters>2146</Characters>
  <Lines>17</Lines>
  <Paragraphs>5</Paragraphs>
  <ScaleCrop>false</ScaleCrop>
  <LinksUpToDate>false</LinksUpToDate>
  <CharactersWithSpaces>2517</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2017-12-20T12:50:00Z</dcterms:created>
  <dc:creator>Administrator</dc:creator>
  <cp:lastModifiedBy>lailai </cp:lastModifiedBy>
  <dcterms:modified xsi:type="dcterms:W3CDTF">2018-02-05T10:24:41Z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